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FB" w:rsidRPr="009E4A19" w:rsidRDefault="00D02AFB" w:rsidP="00D02AFB">
      <w:pPr>
        <w:jc w:val="both"/>
      </w:pPr>
      <w:r>
        <w:t xml:space="preserve">Lista de presença da primeira reunião do Comitê de Investimentos do IPMAT realizada </w:t>
      </w:r>
      <w:r w:rsidRPr="009E4A19">
        <w:t xml:space="preserve">aos </w:t>
      </w:r>
      <w:r>
        <w:t>27</w:t>
      </w:r>
      <w:r w:rsidRPr="009E4A19">
        <w:t xml:space="preserve"> (</w:t>
      </w:r>
      <w:r>
        <w:t>vinte e sete</w:t>
      </w:r>
      <w:r w:rsidRPr="009E4A19">
        <w:t xml:space="preserve">) dias do mês de </w:t>
      </w:r>
      <w:r>
        <w:t>fevereiro</w:t>
      </w:r>
      <w:r w:rsidRPr="009E4A19">
        <w:t xml:space="preserve"> do corrente ano, na sala de reuniões da sede da Prefeitura Municipal de Almirante Tamandaré. O assunto em pauta: </w:t>
      </w:r>
      <w:r>
        <w:t xml:space="preserve">Aprovação de alterações na Política de Investimentos para adequação a Resolução nº 4.695/18. Investimentos e cenário econômico, Prestação de contas do 6º bimestre e contas anual 2018, Verificação de datas para realização de cursos, demais assuntos pertinentes.  Participantes: </w:t>
      </w:r>
      <w:r w:rsidRPr="009E4A19">
        <w:t xml:space="preserve">Anderson </w:t>
      </w:r>
      <w:proofErr w:type="spellStart"/>
      <w:r w:rsidRPr="009E4A19">
        <w:t>Wiens</w:t>
      </w:r>
      <w:proofErr w:type="spellEnd"/>
      <w:r w:rsidRPr="009E4A19">
        <w:t>, Ernesto Antônio Rossi, Fabio Augusto da Silva, José Carlos</w:t>
      </w:r>
      <w:r w:rsidR="00E42A8C">
        <w:t xml:space="preserve"> </w:t>
      </w:r>
      <w:proofErr w:type="spellStart"/>
      <w:r w:rsidR="00E42A8C">
        <w:t>Cesario</w:t>
      </w:r>
      <w:proofErr w:type="spellEnd"/>
      <w:r w:rsidR="00E42A8C">
        <w:t xml:space="preserve"> Pereira</w:t>
      </w:r>
      <w:r w:rsidRPr="009E4A19">
        <w:t>, Maria S</w:t>
      </w:r>
      <w:r w:rsidR="00E42A8C">
        <w:t xml:space="preserve">ilvana </w:t>
      </w:r>
      <w:proofErr w:type="spellStart"/>
      <w:r w:rsidR="00E42A8C">
        <w:t>Buzato</w:t>
      </w:r>
      <w:proofErr w:type="spellEnd"/>
      <w:r w:rsidR="00E42A8C">
        <w:t>, Michelle Goinski</w:t>
      </w:r>
      <w:r w:rsidRPr="009E4A19">
        <w:t>.</w:t>
      </w:r>
    </w:p>
    <w:p w:rsidR="00D02AFB" w:rsidRPr="00B92EA2" w:rsidRDefault="00D02AFB" w:rsidP="00D02AFB">
      <w:pPr>
        <w:jc w:val="both"/>
        <w:rPr>
          <w:rFonts w:ascii="Calibri" w:hAnsi="Calibri" w:cs="Calibri"/>
          <w:b/>
          <w:bCs/>
        </w:rPr>
      </w:pPr>
      <w:r>
        <w:t xml:space="preserve">Ata da primeira reunião do Comitê de Investimentos do IPMAT, </w:t>
      </w:r>
      <w:r w:rsidRPr="009E4A19">
        <w:t xml:space="preserve">aos </w:t>
      </w:r>
      <w:r>
        <w:t>27</w:t>
      </w:r>
      <w:r w:rsidRPr="009E4A19">
        <w:t xml:space="preserve"> (</w:t>
      </w:r>
      <w:r>
        <w:t>vinte e sete</w:t>
      </w:r>
      <w:r w:rsidRPr="009E4A19">
        <w:t xml:space="preserve">) dias do mês de </w:t>
      </w:r>
      <w:r>
        <w:t>fevereiro do ano de 2019</w:t>
      </w:r>
      <w:r w:rsidRPr="009E4A19">
        <w:t xml:space="preserve"> (dois mil e </w:t>
      </w:r>
      <w:r>
        <w:t>dezenove</w:t>
      </w:r>
      <w:r w:rsidRPr="009E4A19">
        <w:t xml:space="preserve">), às </w:t>
      </w:r>
      <w:r>
        <w:t xml:space="preserve">09 </w:t>
      </w:r>
      <w:r w:rsidRPr="009E4A19">
        <w:t>(</w:t>
      </w:r>
      <w:r>
        <w:t>nove</w:t>
      </w:r>
      <w:r w:rsidRPr="009E4A19">
        <w:t xml:space="preserve">) horas, na sala de reuniões da sede da Prefeitura Municipal de Almirante Tamandaré, sito à Rua Emilio Johnson, 360, Centro, Almirante Tamandaré, Paraná. A Senhora Diretora Presidente, Maria Silvana </w:t>
      </w:r>
      <w:proofErr w:type="spellStart"/>
      <w:r w:rsidRPr="009E4A19">
        <w:t>Buzato</w:t>
      </w:r>
      <w:proofErr w:type="spellEnd"/>
      <w:r w:rsidRPr="009E4A19">
        <w:t>, abriu a reunião explanando o</w:t>
      </w:r>
      <w:r>
        <w:t>s</w:t>
      </w:r>
      <w:r w:rsidRPr="009E4A19">
        <w:t xml:space="preserve"> assunto</w:t>
      </w:r>
      <w:r>
        <w:t xml:space="preserve">s em pauta e passando a palavra ao Senhor Contador, Anderson </w:t>
      </w:r>
      <w:proofErr w:type="spellStart"/>
      <w:r>
        <w:t>Wiens</w:t>
      </w:r>
      <w:proofErr w:type="spellEnd"/>
      <w:r>
        <w:t xml:space="preserve">. Referente ao sexto bimestre, arrecadamos um montante de R$ 2.457.302,54 (dois milhões quatrocentos e cinquenta e sete mil trezentos e dois reais e cinquenta e quatro centavos), referente a cota servidor e patronal, taxa administrativa, parcelamentos e compensação previdenciária. O montante do ano de 2018 (dois mil e dezoito) foi de R$ 10.293.048,87 (dez milhões duzentos e noventa e três mil quarenta e oito reais e oitenta e sete centavos). Referente as despesas do sexto bimestre, dispendemos um montante de R$ 140.696,07 (cento e quarenta mil seiscentos e noventa e seis reais e sete centavos), sendo que recebemos de taxa administrativa o montante de R$ 107.327,29 (cento e sete mil trezentos e vinte e sete reais e vinte e nove centavos), ficando com um déficit de R$ 33.368,98 (trinta e três mil trezentos e sessenta e oito reais e noventa e oito centavos). No ano de 2018 (dois mil e dezoito) dispendemos um montante de R$ 574.016,58 (quinhentos e setenta e quatro mil dezesseis reais e cinquenta e oito centavos), sendo que arrecadamos R$ 489.786,14 (quatrocentos e oitenta e nove mil setecentos e oitenta e seis reais e quatorze centavos), ficando com déficit anual de R$ 84.230,44 (oitenta e quatro mil duzentos e trinta reais e quarenta e quatro centavos). As despesas com recursos Previdenciários foram de R$ 2.722.020,01 (dois milhões setecentos e vinte e dois mil e vinte reais e um centavo) no sexto bimestre. Um aumento no montante devido a pagamento da segunda parcela do décimo terceiro. Arrecadamos o total de R$ 2.305.626,98 (dois milhões trezentos e cinco mil seiscentos e vinte e seis reais e noventa e oito centavos) no bimestre. Déficit de R$ 416.393,03 (quatrocentos e dezesseis mil trezentos e noventa e três reais e três centavos). Em compensação obtivemos um superávit de R$ 726.929,83 (setecentos e vinte e seis mil novecentos e vinte e nove reais e oitenta e três centavos), sendo arrecadado R$ 940.822,74 (novecentos e quarenta mil oitocentos e vinte e dois reais e noventa e um centavos). Referente aos benefícios previdenciários, iniciamos o ano com 114 (cento e quatorze) pensões e 451 (quatrocentos e cinquenta e uma) aposentadorias; finalizamos com 116 (cento e dezesseis) pensões e 513 (quinhentas e treze) aposentadorias. O montante dispendido com aposentadorias e pensões no ano de 2018 (dois mil e dezoito) foi de R$ 13.246.758,49 (treze milhões duzentos e quarenta e seis mil setecentos e cinquenta e oito reais e quarenta e nove centavos), já incluídas as parcelas do décimo terceiro. Em relação aos investimentos, apesar de uma perca no mês no maio devido </w:t>
      </w:r>
      <w:proofErr w:type="spellStart"/>
      <w:r>
        <w:t>a</w:t>
      </w:r>
      <w:proofErr w:type="spellEnd"/>
      <w:r>
        <w:t xml:space="preserve"> greve de caminhoneiros, conseguimos um retorno de 9,02% (</w:t>
      </w:r>
      <w:proofErr w:type="gramStart"/>
      <w:r>
        <w:t>nove vírgula</w:t>
      </w:r>
      <w:proofErr w:type="gramEnd"/>
      <w:r>
        <w:t xml:space="preserve"> zero dois por cento), um resultado considerado ótimo pelos consultores, pois poucos RPPS conseguiram chegar a este patamar. Não foi o suficiente para atingirmos a meta atuarial que é de </w:t>
      </w:r>
      <w:r w:rsidRPr="009A54FE">
        <w:t>INPC+6%,</w:t>
      </w:r>
      <w:r>
        <w:t xml:space="preserve"> mas chegamos bem próximo. E na finalização de sua apresentação, informou que o IPMAT </w:t>
      </w:r>
      <w:proofErr w:type="spellStart"/>
      <w:r>
        <w:t>esta</w:t>
      </w:r>
      <w:proofErr w:type="spellEnd"/>
      <w:r>
        <w:t xml:space="preserve"> com todas as declarações aos órgãos competentes entregues no prazo definido pelas mesmas – SRF (DCTF), TCE-PR (SIM-AM), MPS (DIPR) – CEF (SEFIP). Após a ampla explanação, a Diretora Presidente perguntou aos presentes se havia dúvidas quanto a prestação de contas do sexto bimestre e anual de 2018 (dois mil e dezoito). Sem nenhuma dúvida, perguntou se todos aprovavam a prestação de contas, sendo que todos os presentes aprovaram a prestação de contas do IPMAT. Assim, apresentou o Consultor José Coelho, que estava representando nosso consultor Jeferson, da empresa Crédito &amp; Mercado. O </w:t>
      </w:r>
      <w:proofErr w:type="spellStart"/>
      <w:r>
        <w:t>Sr</w:t>
      </w:r>
      <w:proofErr w:type="spellEnd"/>
      <w:r>
        <w:t xml:space="preserve"> José Coelho explanou sobre o cenário nacional e internacional e como a política, desastres ambientes e demais assuntos influenciam no rendimento dos fundos e da economia mundial. Apresentou a carteira de investimentos do IPMAT, explanando sobre os fundos que possuímos e falou sobre as expectativas para o ano. Apresentou a resolução nº 3.922 e sua alteração de 27 de novembro </w:t>
      </w:r>
      <w:r>
        <w:lastRenderedPageBreak/>
        <w:t xml:space="preserve">de 2018, onde há novas definições de alocações. Com a Resolução nº 4.695/18, verificou-se que o IPMAT </w:t>
      </w:r>
      <w:proofErr w:type="gramStart"/>
      <w:r>
        <w:t>encontra-se</w:t>
      </w:r>
      <w:proofErr w:type="gramEnd"/>
      <w:r>
        <w:t xml:space="preserve"> desenquadrado em relação ao fundo BDR Nível I, que passou para o artigo 9º (anteriormente no artigo 8º). A Política de Investimentos foi revisada integralmente, desde os cenários econômicos, passando pelas alocações e sua estratégia alvo, até o credenciamento e demais assuntos pertinentes à sua elaboração. Assim, em conjunto dos Conselhos e Comitê de Investimentos as alocações do IPMAT ficaram da seguinte maneira, conforme a tabela exposta (proposta para 2019 e próximos 05 (cinco) anos: </w:t>
      </w:r>
    </w:p>
    <w:tbl>
      <w:tblPr>
        <w:tblW w:w="50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011"/>
        <w:gridCol w:w="1011"/>
        <w:gridCol w:w="160"/>
        <w:gridCol w:w="869"/>
        <w:gridCol w:w="1011"/>
        <w:gridCol w:w="1139"/>
        <w:gridCol w:w="160"/>
        <w:gridCol w:w="738"/>
        <w:gridCol w:w="885"/>
      </w:tblGrid>
      <w:tr w:rsidR="00D02AFB" w:rsidRPr="00864F7C" w:rsidTr="00297BC4">
        <w:trPr>
          <w:trHeight w:val="439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4F7C">
              <w:rPr>
                <w:rFonts w:ascii="Calibri" w:hAnsi="Calibri" w:cs="Calibri"/>
                <w:b/>
                <w:bCs/>
                <w:sz w:val="20"/>
                <w:szCs w:val="20"/>
              </w:rPr>
              <w:t>Estratégia de Alocação - Política de Investimento de 2019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4F7C">
              <w:rPr>
                <w:rFonts w:ascii="Calibri" w:hAnsi="Calibri" w:cs="Calibri"/>
                <w:b/>
                <w:bCs/>
                <w:sz w:val="20"/>
                <w:szCs w:val="20"/>
              </w:rPr>
              <w:t>Estratégia de Alocação - para os próximos cinco exercícios</w:t>
            </w:r>
          </w:p>
        </w:tc>
      </w:tr>
      <w:tr w:rsidR="00D02AFB" w:rsidRPr="00864F7C" w:rsidTr="00297BC4">
        <w:trPr>
          <w:trHeight w:val="439"/>
        </w:trPr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4F7C">
              <w:rPr>
                <w:rFonts w:ascii="Calibri" w:hAnsi="Calibri" w:cs="Calibri"/>
                <w:b/>
                <w:bCs/>
                <w:sz w:val="20"/>
                <w:szCs w:val="20"/>
              </w:rPr>
              <w:t>Segmento</w:t>
            </w:r>
          </w:p>
        </w:tc>
        <w:tc>
          <w:tcPr>
            <w:tcW w:w="15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4F7C">
              <w:rPr>
                <w:rFonts w:ascii="Calibri" w:hAnsi="Calibri" w:cs="Calibri"/>
                <w:b/>
                <w:bCs/>
                <w:sz w:val="20"/>
                <w:szCs w:val="20"/>
              </w:rPr>
              <w:t>Tipo de Ativo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4F7C">
              <w:rPr>
                <w:rFonts w:ascii="Calibri" w:hAnsi="Calibri" w:cs="Calibri"/>
                <w:b/>
                <w:bCs/>
                <w:sz w:val="20"/>
                <w:szCs w:val="20"/>
              </w:rPr>
              <w:t>Limite da Resolução CMN 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Limite Inferior (%)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Estratégia Alvo (%)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Limite Superior (%)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4F7C">
              <w:rPr>
                <w:rFonts w:ascii="Calibri" w:hAnsi="Calibri" w:cs="Calibri"/>
                <w:b/>
                <w:bCs/>
                <w:sz w:val="20"/>
                <w:szCs w:val="20"/>
              </w:rPr>
              <w:t>Limite Inferior (%)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4F7C">
              <w:rPr>
                <w:rFonts w:ascii="Calibri" w:hAnsi="Calibri" w:cs="Calibri"/>
                <w:b/>
                <w:bCs/>
                <w:sz w:val="20"/>
                <w:szCs w:val="20"/>
              </w:rPr>
              <w:t>Limite Superior (%)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4F7C">
              <w:rPr>
                <w:rFonts w:ascii="Calibri" w:hAnsi="Calibri" w:cs="Calibri"/>
                <w:b/>
                <w:bCs/>
                <w:sz w:val="20"/>
                <w:szCs w:val="20"/>
              </w:rPr>
              <w:t>Renda Fixa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Títulos Públicos de emissão do TN – Art. 7º, I, “a”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100,00%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FI 100% títulos TN - Art. 7º, I, "b"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100,00%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15,00%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36,5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5,00%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ETF - 100% Títulos Públicos - Art. 7°, I "c"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100,00%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Operações Compromissadas - Art. 7º, II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5,00%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FI Renda Fixa "Referenciado" - Art. 7º, III, Alínea “a”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60,00%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60,00%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ETF - Renda Fixa "Referenciado" - Art. 7º, III, Alínea “b”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60,00%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FI de Renda Fixa - Geral - Art. 7º, IV, Alínea “a”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40,00%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10,00%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40,00%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10,00%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40,00%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ETF - Demais Indicadores de RF - Art. 7º, IV, Alínea “b”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40,00%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Letras Imobiliárias Garantidas - Art. 7º, V, Alínea “b”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20,00%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DE39BE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E39BE">
              <w:rPr>
                <w:rFonts w:ascii="Calibri" w:hAnsi="Calibri" w:cs="Calibri"/>
                <w:sz w:val="18"/>
                <w:szCs w:val="18"/>
              </w:rPr>
              <w:t>CDB - Certificados de Depósitos Bancários - Art. 7º, VI, Alínea "a"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DE39BE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E39BE">
              <w:rPr>
                <w:rFonts w:ascii="Calibri" w:hAnsi="Calibri" w:cs="Calibri"/>
                <w:sz w:val="18"/>
                <w:szCs w:val="18"/>
              </w:rPr>
              <w:t>15,00%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DE39BE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DE39BE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E39BE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DE39BE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DE39BE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DE39BE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DE39BE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DE39BE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DE39BE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E39BE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DE39BE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E39BE">
              <w:rPr>
                <w:rFonts w:ascii="Calibri" w:hAnsi="Calibri" w:cs="Calibri"/>
                <w:sz w:val="18"/>
                <w:szCs w:val="18"/>
              </w:rPr>
              <w:t>15,00%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Poupança - Art. 7º, VI, Alínea "b"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15,00%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FI em Direitos Creditórios - Cota Sênior Art. 7º, VII, "a"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5,00%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FI Renda Fixa "Crédito Privado"- Art. 7º, VII, "b"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5,00%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5,00%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FI Debêntures de Infraestrutura - Art. 7º, VII, "c"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5,00%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5,00%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Limite de Renda Fixa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100,00%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25</w:t>
            </w: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72,5</w:t>
            </w: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276</w:t>
            </w: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05</w:t>
            </w: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,00%</w:t>
            </w:r>
          </w:p>
        </w:tc>
      </w:tr>
      <w:tr w:rsidR="00D02AFB" w:rsidRPr="00864F7C" w:rsidTr="00297BC4">
        <w:trPr>
          <w:trHeight w:val="2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4F7C">
              <w:rPr>
                <w:rFonts w:ascii="Calibri" w:hAnsi="Calibri" w:cs="Calibri"/>
                <w:b/>
                <w:bCs/>
                <w:sz w:val="20"/>
                <w:szCs w:val="20"/>
              </w:rPr>
              <w:t>Renda Variável e Estrut.</w:t>
            </w:r>
          </w:p>
        </w:tc>
        <w:tc>
          <w:tcPr>
            <w:tcW w:w="15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FI de Ações - Índices c/ no mínimo 50 ações - Art. 8º, I, "a"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30,00%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F7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ETF - Índice de Ações (c/ no mínimo 50) - Art. 8º, I, "b"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30,00%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F7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FI de Ações - Geral - Art. 8º, II, "a"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20,00%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F7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10,00%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20,00%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20,00%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ETF - Demais Índices de Ações - Art. 8º, II, "b"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20,00%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F7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FI Multimercado - Aberto - Art. 8º, III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10,00%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F7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10,00%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10,00%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FI em Participações - Art. 8º, IV, "a"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5,00%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F7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0,5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5,00%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5,00%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FI Imobiliário - Art. 8º, IV, "b"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5,00%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F7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5,00%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5,00%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FI em Ações - Mercado de Acesso - Art. 8º, IV, "c"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5,00%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F7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Limite de Renda Variável - Art. 8º, § 1°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30,00%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24,5</w:t>
            </w: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</w:t>
            </w: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</w:tr>
      <w:tr w:rsidR="00D02AFB" w:rsidRPr="00864F7C" w:rsidTr="00297BC4">
        <w:trPr>
          <w:trHeight w:val="2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4F7C">
              <w:rPr>
                <w:rFonts w:ascii="Calibri" w:hAnsi="Calibri" w:cs="Calibri"/>
                <w:b/>
                <w:bCs/>
                <w:sz w:val="20"/>
                <w:szCs w:val="20"/>
              </w:rPr>
              <w:t>Invest. No Exterior</w:t>
            </w:r>
          </w:p>
        </w:tc>
        <w:tc>
          <w:tcPr>
            <w:tcW w:w="15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FI de Renda Fixa - Dívida Externa - Art. 9ºA, I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10,00%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FI Constituídos no Brasil - Investimentos no Exterior - Art. 9ºA, II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10,00%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FI em Ações BDR Nível I -  - Art. 9ºA, III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10,00%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64F7C">
              <w:rPr>
                <w:rFonts w:ascii="Calibri" w:hAnsi="Calibri" w:cs="Calibri"/>
                <w:sz w:val="18"/>
                <w:szCs w:val="18"/>
              </w:rPr>
              <w:t>0,00%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Pr="00864F7C">
              <w:rPr>
                <w:rFonts w:ascii="Calibri" w:hAnsi="Calibri" w:cs="Calibri"/>
                <w:sz w:val="18"/>
                <w:szCs w:val="18"/>
              </w:rPr>
              <w:t>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Limite de Investimentos no Exterior - Art. 9°-A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10,00%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,00%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,00%</w:t>
            </w:r>
          </w:p>
        </w:tc>
      </w:tr>
      <w:tr w:rsidR="00D02AFB" w:rsidRPr="00864F7C" w:rsidTr="00297BC4">
        <w:trPr>
          <w:trHeight w:val="283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Total da Carteira de Investimentos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25</w:t>
            </w: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,00%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100,00%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336</w:t>
            </w: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,00%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35</w:t>
            </w: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,00%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02AFB" w:rsidRPr="00864F7C" w:rsidRDefault="00D02AFB" w:rsidP="00297BC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265</w:t>
            </w:r>
            <w:r w:rsidRPr="00864F7C">
              <w:rPr>
                <w:rFonts w:ascii="Calibri" w:hAnsi="Calibri" w:cs="Calibri"/>
                <w:b/>
                <w:bCs/>
                <w:sz w:val="18"/>
                <w:szCs w:val="18"/>
              </w:rPr>
              <w:t>,00%</w:t>
            </w:r>
          </w:p>
        </w:tc>
      </w:tr>
    </w:tbl>
    <w:p w:rsidR="00D02AFB" w:rsidRPr="00864F7C" w:rsidRDefault="00D02AFB" w:rsidP="00D02AFB">
      <w:pPr>
        <w:jc w:val="both"/>
        <w:rPr>
          <w:rFonts w:ascii="Calibri" w:hAnsi="Calibri" w:cs="Calibri"/>
          <w:bCs/>
          <w:sz w:val="20"/>
          <w:szCs w:val="20"/>
        </w:rPr>
      </w:pPr>
    </w:p>
    <w:p w:rsidR="00D02AFB" w:rsidRPr="00D25758" w:rsidRDefault="00D02AFB" w:rsidP="00D02AFB">
      <w:pPr>
        <w:jc w:val="both"/>
      </w:pPr>
      <w:r w:rsidRPr="00D25758">
        <w:t xml:space="preserve">A resolução também trouxe novas regras para o credenciamento de administradoras e gestoras de fundo, onde estamos montando um novo edital de credenciamento. Trouxe maior responsabilidade para todos os envolvidos nas decisões sobre as aplicações que o Instituto efetua – tanto os gestores, dirigentes, membros dos conselhos e órgãos colegiados de deliberação, de fiscalização ou do comitê de investimentos, os consultores e outros profissionais que participam do processo de análise, de assessoramento e decisório sobre as aplicações. Após a explanação pelo consultor, a Diretora Presidente perguntou aos participantes se todos aprovavam as alocações definidas de acordo com os fundos que possuímos e de acordo com a Resolução nº 4.695/18. Todos os participantes aprovaram a Política de Investimentos revisada, sendo que será enviado retificação do DPIN (demonstrativo da política de investimentos) no sistema CADPREV e também a retificação do DAIR (demonstrativo de aplicações e investimentos dos recursos). Após a explanação do consultor, explanamos sobre os cursos que serão ministrados pela Consultoria Financeira. Primeiramente, agendamos o curso de Capacitação de Conselheiros e Comitê, que está agendado para os dias 10 e 11 de abril. No decorrer do ano estaremos ministrando o curso de </w:t>
      </w:r>
      <w:r w:rsidRPr="00D25758">
        <w:rPr>
          <w:noProof/>
        </w:rPr>
        <w:t xml:space="preserve">Análise de Investimentos e Cenário Economico (8h) em junho, Análise da Carteira Módulo Avançado (16h) em agosto e Palestra Resolução 3922 e suas alterações em outubro. Definimos o melhor dia das reuniões e horários para os conselheiros e membros do comitê de investimentos, ficando definido a 1º quarta feira de cada mês para comitê e bimestralmente para conselheiros, as nove horas. </w:t>
      </w:r>
      <w:r w:rsidRPr="00D25758">
        <w:t xml:space="preserve">Após serem tratados todos os assuntos pertinentes, sendo todos aprovados e sem mais assuntos a serem tratados, a reunião foi encerrada pela Diretora Presidente do IPMAT, senhora Maria Silvana </w:t>
      </w:r>
      <w:proofErr w:type="spellStart"/>
      <w:r w:rsidRPr="00D25758">
        <w:t>Buzato</w:t>
      </w:r>
      <w:proofErr w:type="spellEnd"/>
      <w:r w:rsidRPr="00D25758">
        <w:t xml:space="preserve">, determinando que fosse lavrada a presente ata e, após lida e aprovada, vai assinada por mim, Michelle Goinski, secretaria ad hoc e pela Diretora Presidente Senhora Maria Silvana </w:t>
      </w:r>
      <w:proofErr w:type="spellStart"/>
      <w:r w:rsidRPr="00D25758">
        <w:t>Buzato</w:t>
      </w:r>
      <w:proofErr w:type="spellEnd"/>
      <w:r w:rsidRPr="00D25758">
        <w:t>.</w:t>
      </w:r>
    </w:p>
    <w:p w:rsidR="00203CA0" w:rsidRDefault="00203CA0" w:rsidP="005169B6">
      <w:pPr>
        <w:pBdr>
          <w:bottom w:val="single" w:sz="12" w:space="1" w:color="auto"/>
        </w:pBdr>
      </w:pPr>
    </w:p>
    <w:p w:rsidR="002D13B0" w:rsidRPr="00D50280" w:rsidRDefault="002D13B0" w:rsidP="002D13B0">
      <w:pPr>
        <w:jc w:val="both"/>
        <w:rPr>
          <w:rFonts w:ascii="Calibri" w:hAnsi="Calibri" w:cs="Calibri"/>
        </w:rPr>
      </w:pPr>
      <w:r w:rsidRPr="00D50280">
        <w:rPr>
          <w:rFonts w:ascii="Calibri" w:hAnsi="Calibri" w:cs="Calibri"/>
        </w:rPr>
        <w:t>Lista de presença da segunda reunião do Conselho Municipal de Administração e Previdência, Conselho Fiscal e Conselh</w:t>
      </w:r>
      <w:r>
        <w:rPr>
          <w:rFonts w:ascii="Calibri" w:hAnsi="Calibri" w:cs="Calibri"/>
        </w:rPr>
        <w:t xml:space="preserve">o Diretor, e Comitê de Investimentos, do </w:t>
      </w:r>
      <w:r w:rsidRPr="00D50280">
        <w:rPr>
          <w:rFonts w:ascii="Calibri" w:hAnsi="Calibri" w:cs="Calibri"/>
        </w:rPr>
        <w:t xml:space="preserve">exercício de 2019 (dois mil e dezenove), realizado nos dias 10 (dez) e 11 (onze) do mês de abril do corrente ano, no Colégio Estadual Ambrósio </w:t>
      </w:r>
      <w:proofErr w:type="spellStart"/>
      <w:r w:rsidRPr="00D50280">
        <w:rPr>
          <w:rFonts w:ascii="Calibri" w:hAnsi="Calibri" w:cs="Calibri"/>
        </w:rPr>
        <w:t>Bini</w:t>
      </w:r>
      <w:proofErr w:type="spellEnd"/>
      <w:r w:rsidRPr="00D50280">
        <w:rPr>
          <w:rFonts w:ascii="Calibri" w:hAnsi="Calibri" w:cs="Calibri"/>
        </w:rPr>
        <w:t xml:space="preserve">. O assunto em pauta: Prestação de contas do 1º bimestre </w:t>
      </w:r>
      <w:r>
        <w:rPr>
          <w:rFonts w:ascii="Calibri" w:hAnsi="Calibri" w:cs="Calibri"/>
        </w:rPr>
        <w:t xml:space="preserve">do exercício de </w:t>
      </w:r>
      <w:r w:rsidRPr="00D50280">
        <w:rPr>
          <w:rFonts w:ascii="Calibri" w:hAnsi="Calibri" w:cs="Calibri"/>
        </w:rPr>
        <w:t xml:space="preserve">2019, apresentação do Cálculo Atuarial, curso Capacitação de Comitê e Conselheiros de RPPS, demais assuntos pertinentes.  </w:t>
      </w:r>
    </w:p>
    <w:p w:rsidR="002D13B0" w:rsidRPr="00D50280" w:rsidRDefault="002D13B0" w:rsidP="002D13B0">
      <w:pPr>
        <w:jc w:val="both"/>
        <w:rPr>
          <w:rFonts w:ascii="Calibri" w:hAnsi="Calibri" w:cs="Calibri"/>
        </w:rPr>
      </w:pPr>
      <w:r w:rsidRPr="00D50280">
        <w:rPr>
          <w:rFonts w:ascii="Calibri" w:hAnsi="Calibri" w:cs="Calibri"/>
        </w:rPr>
        <w:t xml:space="preserve">Amarildo Batista França, </w:t>
      </w:r>
      <w:proofErr w:type="spellStart"/>
      <w:r w:rsidRPr="00D50280">
        <w:rPr>
          <w:rFonts w:ascii="Calibri" w:hAnsi="Calibri" w:cs="Calibri"/>
        </w:rPr>
        <w:t>Atemildo</w:t>
      </w:r>
      <w:proofErr w:type="spellEnd"/>
      <w:r w:rsidRPr="00D50280">
        <w:rPr>
          <w:rFonts w:ascii="Calibri" w:hAnsi="Calibri" w:cs="Calibri"/>
        </w:rPr>
        <w:t xml:space="preserve"> Dias dos Santos, Carlos Roberto </w:t>
      </w:r>
      <w:proofErr w:type="spellStart"/>
      <w:r w:rsidRPr="00D50280">
        <w:rPr>
          <w:rFonts w:ascii="Calibri" w:hAnsi="Calibri" w:cs="Calibri"/>
        </w:rPr>
        <w:t>Zilli</w:t>
      </w:r>
      <w:proofErr w:type="spellEnd"/>
      <w:r w:rsidRPr="00D50280">
        <w:rPr>
          <w:rFonts w:ascii="Calibri" w:hAnsi="Calibri" w:cs="Calibri"/>
        </w:rPr>
        <w:t xml:space="preserve">, </w:t>
      </w:r>
      <w:proofErr w:type="spellStart"/>
      <w:r w:rsidRPr="00D50280">
        <w:rPr>
          <w:rFonts w:ascii="Calibri" w:hAnsi="Calibri" w:cs="Calibri"/>
        </w:rPr>
        <w:t>Claudeci</w:t>
      </w:r>
      <w:proofErr w:type="spellEnd"/>
      <w:r w:rsidRPr="00D50280">
        <w:rPr>
          <w:rFonts w:ascii="Calibri" w:hAnsi="Calibri" w:cs="Calibri"/>
        </w:rPr>
        <w:t xml:space="preserve"> Aparecido Rodrigues, Deise Pereira Santos Carvalho, Anderson </w:t>
      </w:r>
      <w:proofErr w:type="spellStart"/>
      <w:r w:rsidRPr="00D50280">
        <w:rPr>
          <w:rFonts w:ascii="Calibri" w:hAnsi="Calibri" w:cs="Calibri"/>
        </w:rPr>
        <w:t>Wiens</w:t>
      </w:r>
      <w:proofErr w:type="spellEnd"/>
      <w:r w:rsidRPr="00D50280">
        <w:rPr>
          <w:rFonts w:ascii="Calibri" w:hAnsi="Calibri" w:cs="Calibri"/>
        </w:rPr>
        <w:t xml:space="preserve">, Ernesto Antônio Rossi, Fabio Augusto da Silva, Francisco de Assis de Almeida Pereira, José Carlos </w:t>
      </w:r>
      <w:proofErr w:type="spellStart"/>
      <w:r w:rsidRPr="00D50280">
        <w:rPr>
          <w:rFonts w:ascii="Calibri" w:hAnsi="Calibri" w:cs="Calibri"/>
        </w:rPr>
        <w:t>Cesario</w:t>
      </w:r>
      <w:proofErr w:type="spellEnd"/>
      <w:r w:rsidRPr="00D50280">
        <w:rPr>
          <w:rFonts w:ascii="Calibri" w:hAnsi="Calibri" w:cs="Calibri"/>
        </w:rPr>
        <w:t xml:space="preserve"> Pereira, </w:t>
      </w:r>
      <w:proofErr w:type="spellStart"/>
      <w:r w:rsidRPr="00D50280">
        <w:rPr>
          <w:rFonts w:ascii="Calibri" w:hAnsi="Calibri" w:cs="Calibri"/>
        </w:rPr>
        <w:t>Lucimari</w:t>
      </w:r>
      <w:proofErr w:type="spellEnd"/>
      <w:r w:rsidRPr="00D50280">
        <w:rPr>
          <w:rFonts w:ascii="Calibri" w:hAnsi="Calibri" w:cs="Calibri"/>
        </w:rPr>
        <w:t xml:space="preserve"> da Luz </w:t>
      </w:r>
      <w:proofErr w:type="spellStart"/>
      <w:r w:rsidRPr="00D50280">
        <w:rPr>
          <w:rFonts w:ascii="Calibri" w:hAnsi="Calibri" w:cs="Calibri"/>
        </w:rPr>
        <w:t>Perussi</w:t>
      </w:r>
      <w:proofErr w:type="spellEnd"/>
      <w:r w:rsidRPr="00D50280">
        <w:rPr>
          <w:rFonts w:ascii="Calibri" w:hAnsi="Calibri" w:cs="Calibri"/>
        </w:rPr>
        <w:t xml:space="preserve"> </w:t>
      </w:r>
      <w:proofErr w:type="spellStart"/>
      <w:r w:rsidRPr="00D50280">
        <w:rPr>
          <w:rFonts w:ascii="Calibri" w:hAnsi="Calibri" w:cs="Calibri"/>
        </w:rPr>
        <w:t>Nicolotte</w:t>
      </w:r>
      <w:proofErr w:type="spellEnd"/>
      <w:r w:rsidRPr="00D50280">
        <w:rPr>
          <w:rFonts w:ascii="Calibri" w:hAnsi="Calibri" w:cs="Calibri"/>
        </w:rPr>
        <w:t xml:space="preserve">, Luiz Carlos Teixeira da Luz, Mari Lucia </w:t>
      </w:r>
      <w:proofErr w:type="spellStart"/>
      <w:r w:rsidRPr="00D50280">
        <w:rPr>
          <w:rFonts w:ascii="Calibri" w:hAnsi="Calibri" w:cs="Calibri"/>
        </w:rPr>
        <w:t>Perussi</w:t>
      </w:r>
      <w:proofErr w:type="spellEnd"/>
      <w:r w:rsidRPr="00D50280">
        <w:rPr>
          <w:rFonts w:ascii="Calibri" w:hAnsi="Calibri" w:cs="Calibri"/>
        </w:rPr>
        <w:t xml:space="preserve">, Maria Inês </w:t>
      </w:r>
      <w:proofErr w:type="spellStart"/>
      <w:r w:rsidRPr="00D50280">
        <w:rPr>
          <w:rFonts w:ascii="Calibri" w:hAnsi="Calibri" w:cs="Calibri"/>
        </w:rPr>
        <w:t>Tomacheski</w:t>
      </w:r>
      <w:proofErr w:type="spellEnd"/>
      <w:r w:rsidRPr="00D50280">
        <w:rPr>
          <w:rFonts w:ascii="Calibri" w:hAnsi="Calibri" w:cs="Calibri"/>
        </w:rPr>
        <w:t xml:space="preserve">, 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 xml:space="preserve">, Michelle Goinski, Paulo Cesar dos Santos Cardoso, Vanderlei José </w:t>
      </w:r>
      <w:proofErr w:type="spellStart"/>
      <w:r w:rsidRPr="00D50280">
        <w:rPr>
          <w:rFonts w:ascii="Calibri" w:hAnsi="Calibri" w:cs="Calibri"/>
        </w:rPr>
        <w:t>Giaretta</w:t>
      </w:r>
      <w:proofErr w:type="spellEnd"/>
      <w:r w:rsidRPr="00D50280">
        <w:rPr>
          <w:rFonts w:ascii="Calibri" w:hAnsi="Calibri" w:cs="Calibri"/>
        </w:rPr>
        <w:t>.</w:t>
      </w:r>
    </w:p>
    <w:p w:rsidR="002D13B0" w:rsidRPr="00D50280" w:rsidRDefault="002D13B0" w:rsidP="002D13B0">
      <w:pPr>
        <w:jc w:val="both"/>
        <w:rPr>
          <w:rFonts w:ascii="Calibri" w:hAnsi="Calibri" w:cs="Calibri"/>
        </w:rPr>
      </w:pPr>
      <w:r w:rsidRPr="00D50280">
        <w:rPr>
          <w:rFonts w:ascii="Calibri" w:hAnsi="Calibri" w:cs="Calibri"/>
        </w:rPr>
        <w:t>Ata da segunda reunião do Conselho Municipal de Administração e Previdência, Conselho Fiscal e Conselho Diretor do IPMAT</w:t>
      </w:r>
      <w:r>
        <w:rPr>
          <w:rFonts w:ascii="Calibri" w:hAnsi="Calibri" w:cs="Calibri"/>
        </w:rPr>
        <w:t xml:space="preserve"> juntamente com o Comitê de Investimentos</w:t>
      </w:r>
      <w:r w:rsidRPr="00D50280">
        <w:rPr>
          <w:rFonts w:ascii="Calibri" w:hAnsi="Calibri" w:cs="Calibri"/>
        </w:rPr>
        <w:t xml:space="preserve">, nos dias 10 (dez) e 11 (onze) do mês de abril do ano de 2019 (dois mil e dezenove), às 08 (oito) horas, no Colégio Estadual Ambrósio </w:t>
      </w:r>
      <w:proofErr w:type="spellStart"/>
      <w:r w:rsidRPr="00D50280">
        <w:rPr>
          <w:rFonts w:ascii="Calibri" w:hAnsi="Calibri" w:cs="Calibri"/>
        </w:rPr>
        <w:t>Bini</w:t>
      </w:r>
      <w:proofErr w:type="spellEnd"/>
      <w:r w:rsidRPr="00D50280">
        <w:rPr>
          <w:rFonts w:ascii="Calibri" w:hAnsi="Calibri" w:cs="Calibri"/>
        </w:rPr>
        <w:t xml:space="preserve">, sito à Rua </w:t>
      </w:r>
      <w:proofErr w:type="spellStart"/>
      <w:r w:rsidRPr="00D50280">
        <w:rPr>
          <w:rFonts w:ascii="Calibri" w:hAnsi="Calibri" w:cs="Calibri"/>
        </w:rPr>
        <w:t>Bertolina</w:t>
      </w:r>
      <w:proofErr w:type="spellEnd"/>
      <w:r w:rsidRPr="00D50280">
        <w:rPr>
          <w:rFonts w:ascii="Calibri" w:hAnsi="Calibri" w:cs="Calibri"/>
        </w:rPr>
        <w:t xml:space="preserve"> </w:t>
      </w:r>
      <w:proofErr w:type="spellStart"/>
      <w:r w:rsidRPr="00D50280">
        <w:rPr>
          <w:rFonts w:ascii="Calibri" w:hAnsi="Calibri" w:cs="Calibri"/>
        </w:rPr>
        <w:t>Kendrik</w:t>
      </w:r>
      <w:proofErr w:type="spellEnd"/>
      <w:r w:rsidRPr="00D50280">
        <w:rPr>
          <w:rFonts w:ascii="Calibri" w:hAnsi="Calibri" w:cs="Calibri"/>
        </w:rPr>
        <w:t xml:space="preserve"> de Oliveira, 389, Vila Santa Terezinha, Almirante Tamandaré, Paraná. A Senhora Diretora Presidente, 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 xml:space="preserve">, abriu a reunião explanando os assuntos em pauta e passando a palavra ao Senhor Luiz Claudio </w:t>
      </w:r>
      <w:proofErr w:type="spellStart"/>
      <w:r w:rsidRPr="00D50280">
        <w:rPr>
          <w:rFonts w:ascii="Calibri" w:hAnsi="Calibri" w:cs="Calibri"/>
        </w:rPr>
        <w:t>Kogut</w:t>
      </w:r>
      <w:proofErr w:type="spellEnd"/>
      <w:r w:rsidRPr="00D50280">
        <w:rPr>
          <w:rFonts w:ascii="Calibri" w:hAnsi="Calibri" w:cs="Calibri"/>
        </w:rPr>
        <w:t xml:space="preserve"> para apresentar o estudo desenvolvido da Avaliação Atuarial. A avaliação é elaborada considerando data-base 31/12/2018 e ano-base 2019. Consiste em preservação do equilíbrio financeiro e atuarial, ou seja, até quando a arrecadação dos servidores ativos irá pagar no futuro. Para a realização da avaliação utilizasse base de dados dos servidores ativos e inativos e projetasse para 75 anos</w:t>
      </w:r>
      <w:r>
        <w:rPr>
          <w:rFonts w:ascii="Calibri" w:hAnsi="Calibri" w:cs="Calibri"/>
        </w:rPr>
        <w:t xml:space="preserve"> a partir da data-base,</w:t>
      </w:r>
      <w:r w:rsidRPr="00D50280">
        <w:rPr>
          <w:rFonts w:ascii="Calibri" w:hAnsi="Calibri" w:cs="Calibri"/>
        </w:rPr>
        <w:t xml:space="preserve"> utilizando tábua de referência do IBGE separada por sexo. Considerando a data-base e os dados fornecidos pela Prefeitura Municipal, Câmara Municipal e pelo IPMAT, há 1410 (um mil quatrocentos e dez) </w:t>
      </w:r>
      <w:r w:rsidRPr="00D50280">
        <w:rPr>
          <w:rFonts w:ascii="Calibri" w:hAnsi="Calibri" w:cs="Calibri"/>
        </w:rPr>
        <w:lastRenderedPageBreak/>
        <w:t>servidores ativos e 628 (seiscentos e vinte e oito) inativos. Referente aos ativos, 80% (oitenta por cento) são do sexo feminino, sendo que 52% (cinquenta e dois por cento) ocupam cargo de professor</w:t>
      </w:r>
      <w:r>
        <w:rPr>
          <w:rFonts w:ascii="Calibri" w:hAnsi="Calibri" w:cs="Calibri"/>
        </w:rPr>
        <w:t xml:space="preserve"> (</w:t>
      </w:r>
      <w:r w:rsidRPr="00D50280">
        <w:rPr>
          <w:rFonts w:ascii="Calibri" w:hAnsi="Calibri" w:cs="Calibri"/>
        </w:rPr>
        <w:t>a</w:t>
      </w:r>
      <w:r>
        <w:rPr>
          <w:rFonts w:ascii="Calibri" w:hAnsi="Calibri" w:cs="Calibri"/>
        </w:rPr>
        <w:t>)</w:t>
      </w:r>
      <w:r w:rsidRPr="00D50280">
        <w:rPr>
          <w:rFonts w:ascii="Calibri" w:hAnsi="Calibri" w:cs="Calibri"/>
        </w:rPr>
        <w:t xml:space="preserve">. Como a aposentadoria para esta categoria é especial, é necessária atenção as reservas que </w:t>
      </w:r>
      <w:proofErr w:type="gramStart"/>
      <w:r w:rsidRPr="00D50280">
        <w:rPr>
          <w:rFonts w:ascii="Calibri" w:hAnsi="Calibri" w:cs="Calibri"/>
        </w:rPr>
        <w:t>o Instituto mantem</w:t>
      </w:r>
      <w:proofErr w:type="gramEnd"/>
      <w:r w:rsidRPr="00D50280">
        <w:rPr>
          <w:rFonts w:ascii="Calibri" w:hAnsi="Calibri" w:cs="Calibri"/>
        </w:rPr>
        <w:t>. Outro fator importante é a paridade e integralidade – hoje 30% (trinta por cento) dos servidores ativos tem esse direito, impactando nas reservas. Estima-se que 306 servidores irão aposentar</w:t>
      </w:r>
      <w:r>
        <w:rPr>
          <w:rFonts w:ascii="Calibri" w:hAnsi="Calibri" w:cs="Calibri"/>
        </w:rPr>
        <w:t>-se</w:t>
      </w:r>
      <w:r w:rsidRPr="00D50280">
        <w:rPr>
          <w:rFonts w:ascii="Calibri" w:hAnsi="Calibri" w:cs="Calibri"/>
        </w:rPr>
        <w:t xml:space="preserve"> nos próximos 05 (cinco) anos, e 350 servidores entre 06 (seis) e 10 (dez) anos. Relembrou a importância de manter atualizado o cadastro dos funcionários, pois os dados dispostos na ficha funcional impactam na Avaliação Atuarial. </w:t>
      </w:r>
      <w:r>
        <w:rPr>
          <w:rFonts w:ascii="Calibri" w:hAnsi="Calibri" w:cs="Calibri"/>
        </w:rPr>
        <w:t xml:space="preserve">É importante informar se há dependentes, quantos dependentes, estado civil, e demais dados para manter o cadastro sempre atualizado; não somente para a avaliação atuarial, mas para o próprio servidor. </w:t>
      </w:r>
      <w:r w:rsidRPr="00D50280">
        <w:rPr>
          <w:rFonts w:ascii="Calibri" w:hAnsi="Calibri" w:cs="Calibri"/>
        </w:rPr>
        <w:t>Contamos com 2,2 servidores ativos contribuintes para cada inativo. Os parcelamentos solicitados pela Prefeitura e efetivados impactam na Avaliação Atuarial. Quanto maior o número de parcelamentos, mais preocupante para o Instituto. Estima-se uma receita de aproximadamente 412 (quatrocentos e doze) milhões a futuro</w:t>
      </w:r>
      <w:r>
        <w:rPr>
          <w:rFonts w:ascii="Calibri" w:hAnsi="Calibri" w:cs="Calibri"/>
        </w:rPr>
        <w:t xml:space="preserve"> – pagamento de cotas, parcelamentos e plano de custeio</w:t>
      </w:r>
      <w:r w:rsidRPr="00D50280">
        <w:rPr>
          <w:rFonts w:ascii="Calibri" w:hAnsi="Calibri" w:cs="Calibri"/>
        </w:rPr>
        <w:t xml:space="preserve">. Referente ao Plano de Custeio aprovado pelo Decreto Municipal nº 111/18, recomenda-se a manutenção do plano de equacionamento. Seu pagamento iniciou em 2019 e está programado até 2094. A portaria 464/18 lançou novas normas para a Avaliação Atuarial que será obrigatória a partir de 2020. Exigisse a utilização de tabua de referência separada por sexos, estudo de aderência das hipóteses, adoção de reposição de servidores, aportes/alíquotas de equacionamento anual sendo que devem cobrir, no mínimo, os juros do </w:t>
      </w:r>
      <w:r>
        <w:rPr>
          <w:rFonts w:ascii="Calibri" w:hAnsi="Calibri" w:cs="Calibri"/>
        </w:rPr>
        <w:t>déficit atuarial</w:t>
      </w:r>
      <w:r w:rsidRPr="00D50280">
        <w:rPr>
          <w:rFonts w:ascii="Calibri" w:hAnsi="Calibri" w:cs="Calibri"/>
        </w:rPr>
        <w:t xml:space="preserve">, taxa de juros parâmetro – portaria SPREV 50/18, entre outros. Após a apresentação do </w:t>
      </w:r>
      <w:proofErr w:type="spellStart"/>
      <w:r w:rsidRPr="00D50280">
        <w:rPr>
          <w:rFonts w:ascii="Calibri" w:hAnsi="Calibri" w:cs="Calibri"/>
        </w:rPr>
        <w:t>Sr</w:t>
      </w:r>
      <w:proofErr w:type="spellEnd"/>
      <w:r w:rsidRPr="00D50280">
        <w:rPr>
          <w:rFonts w:ascii="Calibri" w:hAnsi="Calibri" w:cs="Calibri"/>
        </w:rPr>
        <w:t xml:space="preserve"> </w:t>
      </w:r>
      <w:proofErr w:type="spellStart"/>
      <w:r w:rsidRPr="00D50280">
        <w:rPr>
          <w:rFonts w:ascii="Calibri" w:hAnsi="Calibri" w:cs="Calibri"/>
        </w:rPr>
        <w:t>Kogut</w:t>
      </w:r>
      <w:proofErr w:type="spellEnd"/>
      <w:r w:rsidRPr="00D50280">
        <w:rPr>
          <w:rFonts w:ascii="Calibri" w:hAnsi="Calibri" w:cs="Calibri"/>
        </w:rPr>
        <w:t xml:space="preserve"> e as dúvidas dos presentes sanada, a Diretora Presidente, 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 xml:space="preserve">, perguntou se todos estavam de acordo com o apresentado e se haviam mais dúvidas. Todos se manifestaram a favor e sem mais dúvidas, passou a palavra ao </w:t>
      </w:r>
      <w:proofErr w:type="spellStart"/>
      <w:r w:rsidRPr="00D50280">
        <w:rPr>
          <w:rFonts w:ascii="Calibri" w:hAnsi="Calibri" w:cs="Calibri"/>
        </w:rPr>
        <w:t>Sr</w:t>
      </w:r>
      <w:proofErr w:type="spellEnd"/>
      <w:r w:rsidRPr="00D50280">
        <w:rPr>
          <w:rFonts w:ascii="Calibri" w:hAnsi="Calibri" w:cs="Calibri"/>
        </w:rPr>
        <w:t xml:space="preserve"> Manoel Luiz Junior para iniciar o curso de Capacitação para Comitê e Conselheiros de RPPS. Este curso abrange desde a história da previdência no Brasil até as últimas portarias, emendas, </w:t>
      </w:r>
      <w:proofErr w:type="spellStart"/>
      <w:r w:rsidRPr="00D50280">
        <w:rPr>
          <w:rFonts w:ascii="Calibri" w:hAnsi="Calibri" w:cs="Calibri"/>
        </w:rPr>
        <w:t>etc</w:t>
      </w:r>
      <w:proofErr w:type="spellEnd"/>
      <w:r w:rsidRPr="00D50280">
        <w:rPr>
          <w:rFonts w:ascii="Calibri" w:hAnsi="Calibri" w:cs="Calibri"/>
        </w:rPr>
        <w:t xml:space="preserve"> que estão em vigor até o momento. O objetivo desta capacitação é que o</w:t>
      </w:r>
      <w:r>
        <w:rPr>
          <w:rFonts w:ascii="Calibri" w:hAnsi="Calibri" w:cs="Calibri"/>
        </w:rPr>
        <w:t>s membros</w:t>
      </w:r>
      <w:r w:rsidRPr="00D50280">
        <w:rPr>
          <w:rFonts w:ascii="Calibri" w:hAnsi="Calibri" w:cs="Calibri"/>
        </w:rPr>
        <w:t xml:space="preserve"> Comitê e os Conselheiros entendam melhor o funcionamento da previdência, principalmente do Regime Próprio</w:t>
      </w:r>
      <w:r>
        <w:rPr>
          <w:rFonts w:ascii="Calibri" w:hAnsi="Calibri" w:cs="Calibri"/>
        </w:rPr>
        <w:t>,</w:t>
      </w:r>
      <w:r w:rsidRPr="00D50280">
        <w:rPr>
          <w:rFonts w:ascii="Calibri" w:hAnsi="Calibri" w:cs="Calibri"/>
        </w:rPr>
        <w:t xml:space="preserve"> que é onde atuam. Explanou as Leis, Emendas, Portarias, que regem a concessão de benefícios e também as que regem a normatização, prestação de contas e demais atos que um Regime próprio deve atender. Por último, explanou sobre o mercado financeiro, os segmentos de investimento, rentabilidade, os riscos que os tipos de segmento e fundo</w:t>
      </w:r>
      <w:r>
        <w:rPr>
          <w:rFonts w:ascii="Calibri" w:hAnsi="Calibri" w:cs="Calibri"/>
        </w:rPr>
        <w:t>s</w:t>
      </w:r>
      <w:r w:rsidRPr="00D50280">
        <w:rPr>
          <w:rFonts w:ascii="Calibri" w:hAnsi="Calibri" w:cs="Calibri"/>
        </w:rPr>
        <w:t xml:space="preserve"> apresent</w:t>
      </w:r>
      <w:r>
        <w:rPr>
          <w:rFonts w:ascii="Calibri" w:hAnsi="Calibri" w:cs="Calibri"/>
        </w:rPr>
        <w:t>am. A capacitação foi ministrada</w:t>
      </w:r>
      <w:r w:rsidRPr="00D50280">
        <w:rPr>
          <w:rFonts w:ascii="Calibri" w:hAnsi="Calibri" w:cs="Calibri"/>
        </w:rPr>
        <w:t xml:space="preserve"> nos dois dias</w:t>
      </w:r>
      <w:r>
        <w:rPr>
          <w:rFonts w:ascii="Calibri" w:hAnsi="Calibri" w:cs="Calibri"/>
        </w:rPr>
        <w:t xml:space="preserve"> citados no início desta ata</w:t>
      </w:r>
      <w:r w:rsidRPr="00D50280">
        <w:rPr>
          <w:rFonts w:ascii="Calibri" w:hAnsi="Calibri" w:cs="Calibri"/>
        </w:rPr>
        <w:t xml:space="preserve">. Durante a capacitação os participantes sanavam suas dúvidas e o palestrante deixou seu contato caso surjam novas dúvidas. Os participantes mostraram-se satisfeitos com a capacitação e mostraram interesse em novos cursos. O IPMAT está providenciando mais cursos de capacitação para os membros. Para finalizar os dias de capacitação e facilitar o acesso dos conselheiros e </w:t>
      </w:r>
      <w:r>
        <w:rPr>
          <w:rFonts w:ascii="Calibri" w:hAnsi="Calibri" w:cs="Calibri"/>
        </w:rPr>
        <w:t xml:space="preserve">membros do </w:t>
      </w:r>
      <w:r w:rsidRPr="00D50280">
        <w:rPr>
          <w:rFonts w:ascii="Calibri" w:hAnsi="Calibri" w:cs="Calibri"/>
        </w:rPr>
        <w:t>comitê</w:t>
      </w:r>
      <w:r>
        <w:rPr>
          <w:rFonts w:ascii="Calibri" w:hAnsi="Calibri" w:cs="Calibri"/>
        </w:rPr>
        <w:t xml:space="preserve"> de investimentos</w:t>
      </w:r>
      <w:r w:rsidRPr="00D50280">
        <w:rPr>
          <w:rFonts w:ascii="Calibri" w:hAnsi="Calibri" w:cs="Calibri"/>
        </w:rPr>
        <w:t>, realizamos a prestação de contas do primeiro bime</w:t>
      </w:r>
      <w:r>
        <w:rPr>
          <w:rFonts w:ascii="Calibri" w:hAnsi="Calibri" w:cs="Calibri"/>
        </w:rPr>
        <w:t>stre do exercício de</w:t>
      </w:r>
      <w:r w:rsidRPr="00D50280">
        <w:rPr>
          <w:rFonts w:ascii="Calibri" w:hAnsi="Calibri" w:cs="Calibri"/>
        </w:rPr>
        <w:t xml:space="preserve"> 2019, apresentado pelo Senhor Contador, Anderson </w:t>
      </w:r>
      <w:proofErr w:type="spellStart"/>
      <w:r w:rsidRPr="00D50280">
        <w:rPr>
          <w:rFonts w:ascii="Calibri" w:hAnsi="Calibri" w:cs="Calibri"/>
        </w:rPr>
        <w:t>Wiens</w:t>
      </w:r>
      <w:proofErr w:type="spellEnd"/>
      <w:r w:rsidRPr="00D50280">
        <w:rPr>
          <w:rFonts w:ascii="Calibri" w:hAnsi="Calibri" w:cs="Calibri"/>
        </w:rPr>
        <w:t>. Referente as receitas, arrecadamos o montante de R$ 7.313.736,94 (sete milhões trezentos e treze mil setecentos e trinta e seis reais e noventa e quatro centavos) – cota patronal</w:t>
      </w:r>
      <w:r>
        <w:rPr>
          <w:rFonts w:ascii="Calibri" w:hAnsi="Calibri" w:cs="Calibri"/>
        </w:rPr>
        <w:t xml:space="preserve"> (R$ 10.023,60 (dez mil vinte e três reais e sessenta centavos))</w:t>
      </w:r>
      <w:r w:rsidRPr="00D50280">
        <w:rPr>
          <w:rFonts w:ascii="Calibri" w:hAnsi="Calibri" w:cs="Calibri"/>
        </w:rPr>
        <w:t>, cota servidor</w:t>
      </w:r>
      <w:r>
        <w:rPr>
          <w:rFonts w:ascii="Calibri" w:hAnsi="Calibri" w:cs="Calibri"/>
        </w:rPr>
        <w:t xml:space="preserve"> (R$ 708.165,18 (setecentos e oito mil cento e sessenta e cinco reais e noventa e quatro centavos))</w:t>
      </w:r>
      <w:r w:rsidRPr="00D50280">
        <w:rPr>
          <w:rFonts w:ascii="Calibri" w:hAnsi="Calibri" w:cs="Calibri"/>
        </w:rPr>
        <w:t>, taxa administrativa</w:t>
      </w:r>
      <w:r>
        <w:rPr>
          <w:rFonts w:ascii="Calibri" w:hAnsi="Calibri" w:cs="Calibri"/>
        </w:rPr>
        <w:t xml:space="preserve"> (R$ 63.525,54 (sessenta e três mil quinhentos e vinte e cinco reais e cinquenta e quatro centavos))</w:t>
      </w:r>
      <w:r w:rsidRPr="00D50280">
        <w:rPr>
          <w:rFonts w:ascii="Calibri" w:hAnsi="Calibri" w:cs="Calibri"/>
        </w:rPr>
        <w:t>, parcelamentos</w:t>
      </w:r>
      <w:r>
        <w:rPr>
          <w:rFonts w:ascii="Calibri" w:hAnsi="Calibri" w:cs="Calibri"/>
        </w:rPr>
        <w:t xml:space="preserve"> (R$ 879.296,98 (oitocentos e setenta e nove mil duzentos e noventa e seis reais e noventa e oito centavos))</w:t>
      </w:r>
      <w:r w:rsidRPr="00D50280">
        <w:rPr>
          <w:rFonts w:ascii="Calibri" w:hAnsi="Calibri" w:cs="Calibri"/>
        </w:rPr>
        <w:t>, aporte</w:t>
      </w:r>
      <w:r>
        <w:rPr>
          <w:rFonts w:ascii="Calibri" w:hAnsi="Calibri" w:cs="Calibri"/>
        </w:rPr>
        <w:t xml:space="preserve"> (R$ 217.777,78 (duzentos e dezessete mil setecentos e setenta e sete reais e setenta e oito centavos))</w:t>
      </w:r>
      <w:r w:rsidRPr="00D50280">
        <w:rPr>
          <w:rFonts w:ascii="Calibri" w:hAnsi="Calibri" w:cs="Calibri"/>
        </w:rPr>
        <w:t xml:space="preserve">, compensação previdenciária </w:t>
      </w:r>
      <w:r>
        <w:rPr>
          <w:rFonts w:ascii="Calibri" w:hAnsi="Calibri" w:cs="Calibri"/>
        </w:rPr>
        <w:t xml:space="preserve">(R$ 89.600,99 (oitenta e nove mil seiscentos reais e noventa e nove centavos)) </w:t>
      </w:r>
      <w:r w:rsidRPr="00D50280">
        <w:rPr>
          <w:rFonts w:ascii="Calibri" w:hAnsi="Calibri" w:cs="Calibri"/>
        </w:rPr>
        <w:t>e rendimentos de aplicações financeiras</w:t>
      </w:r>
      <w:r>
        <w:rPr>
          <w:rFonts w:ascii="Calibri" w:hAnsi="Calibri" w:cs="Calibri"/>
        </w:rPr>
        <w:t xml:space="preserve"> (R$ 5.345.346,87 (cinco milhões trezentos e quarenta e cinco mil trezentos e quarenta e seis reais e oitenta e sete centavos))</w:t>
      </w:r>
      <w:r w:rsidRPr="00D50280">
        <w:rPr>
          <w:rFonts w:ascii="Calibri" w:hAnsi="Calibri" w:cs="Calibri"/>
        </w:rPr>
        <w:t xml:space="preserve">. Do valor arrecadado pode-se utilizar somente o referente a taxa administrativa para despesas do Instituto, os demais valores dizem respeito a previdência do servidor e só podem ser utilizadas para pagamento de aposentadorias e </w:t>
      </w:r>
      <w:r w:rsidRPr="00D50280">
        <w:rPr>
          <w:rFonts w:ascii="Calibri" w:hAnsi="Calibri" w:cs="Calibri"/>
        </w:rPr>
        <w:lastRenderedPageBreak/>
        <w:t xml:space="preserve">pensões. Recebemos o montante de R$ 63.525,54 (sessenta e três mil quinhentos e vinte e cinco reais </w:t>
      </w:r>
      <w:r>
        <w:rPr>
          <w:rFonts w:ascii="Calibri" w:hAnsi="Calibri" w:cs="Calibri"/>
        </w:rPr>
        <w:t xml:space="preserve">e cinquenta e quatro centavos) referente a taxa administrativa, </w:t>
      </w:r>
      <w:r w:rsidRPr="00D50280">
        <w:rPr>
          <w:rFonts w:ascii="Calibri" w:hAnsi="Calibri" w:cs="Calibri"/>
        </w:rPr>
        <w:t>mas tivemos despesas no montante de R$ 112.735,68 (cento e doze mil setecentos e trinta e cinco reais e sessenta e oito centavos), ou seja, temos um déficit de R$ 49.210,14 (quarenta e nove mil duzentos e dez reais e quatorze centavos)</w:t>
      </w:r>
      <w:r>
        <w:rPr>
          <w:rFonts w:ascii="Calibri" w:hAnsi="Calibri" w:cs="Calibri"/>
        </w:rPr>
        <w:t>. P</w:t>
      </w:r>
      <w:r w:rsidRPr="00D50280">
        <w:rPr>
          <w:rFonts w:ascii="Calibri" w:hAnsi="Calibri" w:cs="Calibri"/>
        </w:rPr>
        <w:t>ara suprir as despesas mensais do Instituto e mantê-lo atendendo com qualidade os servidores</w:t>
      </w:r>
      <w:r>
        <w:rPr>
          <w:rFonts w:ascii="Calibri" w:hAnsi="Calibri" w:cs="Calibri"/>
        </w:rPr>
        <w:t>, conforme já autorizado pelo conselho, está utilizando a reserva financeira acumulada em anos anteriores</w:t>
      </w:r>
      <w:r w:rsidRPr="00D50280">
        <w:rPr>
          <w:rFonts w:ascii="Calibri" w:hAnsi="Calibri" w:cs="Calibri"/>
        </w:rPr>
        <w:t>. Com a folha de aposentados e pensionistas, arrecadamos o montante de R$ 1.815.236,54 (um milhão oitocentos e quinze mil duzentos e trinta e seis reais e cinquenta e quatro centavos)</w:t>
      </w:r>
      <w:r>
        <w:rPr>
          <w:rFonts w:ascii="Calibri" w:hAnsi="Calibri" w:cs="Calibri"/>
        </w:rPr>
        <w:t xml:space="preserve"> neste primeiro bimestre de 2019</w:t>
      </w:r>
      <w:r w:rsidRPr="00D50280">
        <w:rPr>
          <w:rFonts w:ascii="Calibri" w:hAnsi="Calibri" w:cs="Calibri"/>
        </w:rPr>
        <w:t>, sendo que dispendemos o montante de R$ 2.243.007,87 (dois milhões duzentos e quarenta e três mil sete reais e oitenta e sete centavos), tendo um déficit de R$ 427.744,33 (quatrocentos e vinte e sete mil setecentos e quarenta e quatro reais e trinta e três centavos). Ainda temos uma boa reserva, mas é importante ter cautela e sempre procurar alternativas e soluções para manter um equilíbrio atuarial e financeiro, pois a previdência deve ser pensada para o hoje e para o futuro. O IPMAT possui um saldo financeiro (referência de 28/02/2019) de R$ 156.214.316,15 (cento e cinquenta e seis milhões duzentos e quatorze mil trezentos e dezesseis reais e quinze centavos). Contamos com 633 (seiscentos e trinta e três) benefícios sendo pagos atualmente</w:t>
      </w:r>
      <w:r>
        <w:rPr>
          <w:rFonts w:ascii="Calibri" w:hAnsi="Calibri" w:cs="Calibri"/>
        </w:rPr>
        <w:t xml:space="preserve"> – que engloba aposentadorias e pensões</w:t>
      </w:r>
      <w:r w:rsidRPr="00D50280">
        <w:rPr>
          <w:rFonts w:ascii="Calibri" w:hAnsi="Calibri" w:cs="Calibri"/>
        </w:rPr>
        <w:t xml:space="preserve">. A Diretora Presidente, 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>, pergunto</w:t>
      </w:r>
      <w:r>
        <w:rPr>
          <w:rFonts w:ascii="Calibri" w:hAnsi="Calibri" w:cs="Calibri"/>
        </w:rPr>
        <w:t>u se possuíam dúvidas e s</w:t>
      </w:r>
      <w:r w:rsidRPr="00D50280">
        <w:rPr>
          <w:rFonts w:ascii="Calibri" w:hAnsi="Calibri" w:cs="Calibri"/>
        </w:rPr>
        <w:t xml:space="preserve">em nenhuma manifestação, perguntou se todos aprovavam a referida prestação de contas. Todos aprovaram sem ressalvas. Após serem tratados todos os assuntos pertinentes e sem mais assuntos a serem tratados, a reunião foi encerrada pela Diretora Presidente do IPMAT, senhora 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 xml:space="preserve">, determinando que fosse lavrada a presente ata e, após lida e aprovada, vai assinada por mim, Michelle Goinski, secretaria ad hoc e pela Diretora Presidente Senhora 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>.</w:t>
      </w:r>
    </w:p>
    <w:p w:rsidR="002D13B0" w:rsidRPr="00531E60" w:rsidRDefault="002D13B0" w:rsidP="002D13B0">
      <w:pPr>
        <w:pBdr>
          <w:bottom w:val="single" w:sz="12" w:space="1" w:color="auto"/>
        </w:pBdr>
      </w:pPr>
    </w:p>
    <w:p w:rsidR="002D13B0" w:rsidRPr="00D50280" w:rsidRDefault="002D13B0" w:rsidP="002D13B0">
      <w:pPr>
        <w:jc w:val="both"/>
        <w:rPr>
          <w:rFonts w:ascii="Calibri" w:hAnsi="Calibri" w:cs="Calibri"/>
        </w:rPr>
      </w:pPr>
      <w:r w:rsidRPr="00D50280">
        <w:rPr>
          <w:rFonts w:ascii="Calibri" w:hAnsi="Calibri" w:cs="Calibri"/>
        </w:rPr>
        <w:t xml:space="preserve">Lista de presença da </w:t>
      </w:r>
      <w:r>
        <w:rPr>
          <w:rFonts w:ascii="Calibri" w:hAnsi="Calibri" w:cs="Calibri"/>
        </w:rPr>
        <w:t>terceir</w:t>
      </w:r>
      <w:r w:rsidRPr="00D50280">
        <w:rPr>
          <w:rFonts w:ascii="Calibri" w:hAnsi="Calibri" w:cs="Calibri"/>
        </w:rPr>
        <w:t>a reunião do Conselho Municipal de Administração e Previdência, Conselho Fiscal e Conselh</w:t>
      </w:r>
      <w:r>
        <w:rPr>
          <w:rFonts w:ascii="Calibri" w:hAnsi="Calibri" w:cs="Calibri"/>
        </w:rPr>
        <w:t xml:space="preserve">o Diretor, e Comitê de Investimentos, do </w:t>
      </w:r>
      <w:r w:rsidRPr="00D50280">
        <w:rPr>
          <w:rFonts w:ascii="Calibri" w:hAnsi="Calibri" w:cs="Calibri"/>
        </w:rPr>
        <w:t>exercício de 2019 (dois mil e dezenove), realizado no dia 1</w:t>
      </w:r>
      <w:r>
        <w:rPr>
          <w:rFonts w:ascii="Calibri" w:hAnsi="Calibri" w:cs="Calibri"/>
        </w:rPr>
        <w:t xml:space="preserve">2 </w:t>
      </w:r>
      <w:r w:rsidRPr="00D50280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doze) </w:t>
      </w:r>
      <w:r w:rsidRPr="00D50280">
        <w:rPr>
          <w:rFonts w:ascii="Calibri" w:hAnsi="Calibri" w:cs="Calibri"/>
        </w:rPr>
        <w:t xml:space="preserve">do mês de </w:t>
      </w:r>
      <w:r>
        <w:rPr>
          <w:rFonts w:ascii="Calibri" w:hAnsi="Calibri" w:cs="Calibri"/>
        </w:rPr>
        <w:t>junho</w:t>
      </w:r>
      <w:r w:rsidRPr="00D50280">
        <w:rPr>
          <w:rFonts w:ascii="Calibri" w:hAnsi="Calibri" w:cs="Calibri"/>
        </w:rPr>
        <w:t xml:space="preserve"> do corrente ano, </w:t>
      </w:r>
      <w:r>
        <w:rPr>
          <w:rFonts w:ascii="Calibri" w:hAnsi="Calibri" w:cs="Calibri"/>
        </w:rPr>
        <w:t>na ASSEMAT</w:t>
      </w:r>
      <w:r w:rsidRPr="00D50280">
        <w:rPr>
          <w:rFonts w:ascii="Calibri" w:hAnsi="Calibri" w:cs="Calibri"/>
        </w:rPr>
        <w:t xml:space="preserve">. O assunto em pauta: Prestação de contas do </w:t>
      </w:r>
      <w:r>
        <w:rPr>
          <w:rFonts w:ascii="Calibri" w:hAnsi="Calibri" w:cs="Calibri"/>
        </w:rPr>
        <w:t>2</w:t>
      </w:r>
      <w:r w:rsidRPr="00D50280">
        <w:rPr>
          <w:rFonts w:ascii="Calibri" w:hAnsi="Calibri" w:cs="Calibri"/>
        </w:rPr>
        <w:t xml:space="preserve">º bimestre </w:t>
      </w:r>
      <w:r>
        <w:rPr>
          <w:rFonts w:ascii="Calibri" w:hAnsi="Calibri" w:cs="Calibri"/>
        </w:rPr>
        <w:t xml:space="preserve">do exercício de </w:t>
      </w:r>
      <w:r w:rsidRPr="00D50280">
        <w:rPr>
          <w:rFonts w:ascii="Calibri" w:hAnsi="Calibri" w:cs="Calibri"/>
        </w:rPr>
        <w:t xml:space="preserve">2019, </w:t>
      </w:r>
      <w:r>
        <w:rPr>
          <w:rFonts w:ascii="Calibri" w:hAnsi="Calibri" w:cs="Calibri"/>
        </w:rPr>
        <w:t>Pedido de Parcelamento</w:t>
      </w:r>
      <w:r w:rsidRPr="00D50280">
        <w:rPr>
          <w:rFonts w:ascii="Calibri" w:hAnsi="Calibri" w:cs="Calibri"/>
        </w:rPr>
        <w:t xml:space="preserve">, demais assuntos pertinentes.  </w:t>
      </w:r>
    </w:p>
    <w:p w:rsidR="002D13B0" w:rsidRPr="00D50280" w:rsidRDefault="002D13B0" w:rsidP="002D13B0">
      <w:pPr>
        <w:jc w:val="both"/>
        <w:rPr>
          <w:rFonts w:ascii="Calibri" w:hAnsi="Calibri" w:cs="Calibri"/>
        </w:rPr>
      </w:pPr>
      <w:r w:rsidRPr="00D50280">
        <w:rPr>
          <w:rFonts w:ascii="Calibri" w:hAnsi="Calibri" w:cs="Calibri"/>
        </w:rPr>
        <w:t xml:space="preserve">Amarildo Batista França, </w:t>
      </w:r>
      <w:proofErr w:type="spellStart"/>
      <w:r w:rsidRPr="00D50280">
        <w:rPr>
          <w:rFonts w:ascii="Calibri" w:hAnsi="Calibri" w:cs="Calibri"/>
        </w:rPr>
        <w:t>Atemildo</w:t>
      </w:r>
      <w:proofErr w:type="spellEnd"/>
      <w:r w:rsidRPr="00D50280">
        <w:rPr>
          <w:rFonts w:ascii="Calibri" w:hAnsi="Calibri" w:cs="Calibri"/>
        </w:rPr>
        <w:t xml:space="preserve"> Dias dos Santos, Carlos Roberto </w:t>
      </w:r>
      <w:proofErr w:type="spellStart"/>
      <w:r w:rsidRPr="00D50280">
        <w:rPr>
          <w:rFonts w:ascii="Calibri" w:hAnsi="Calibri" w:cs="Calibri"/>
        </w:rPr>
        <w:t>Zilli</w:t>
      </w:r>
      <w:proofErr w:type="spellEnd"/>
      <w:r w:rsidRPr="00D50280">
        <w:rPr>
          <w:rFonts w:ascii="Calibri" w:hAnsi="Calibri" w:cs="Calibri"/>
        </w:rPr>
        <w:t xml:space="preserve">, </w:t>
      </w:r>
      <w:proofErr w:type="spellStart"/>
      <w:r w:rsidRPr="00D50280">
        <w:rPr>
          <w:rFonts w:ascii="Calibri" w:hAnsi="Calibri" w:cs="Calibri"/>
        </w:rPr>
        <w:t>Claudeci</w:t>
      </w:r>
      <w:proofErr w:type="spellEnd"/>
      <w:r w:rsidRPr="00D50280">
        <w:rPr>
          <w:rFonts w:ascii="Calibri" w:hAnsi="Calibri" w:cs="Calibri"/>
        </w:rPr>
        <w:t xml:space="preserve"> Aparecido Rodrigues, Deise Pereira Santos Carvalho, Anderson </w:t>
      </w:r>
      <w:proofErr w:type="spellStart"/>
      <w:r w:rsidRPr="00D50280">
        <w:rPr>
          <w:rFonts w:ascii="Calibri" w:hAnsi="Calibri" w:cs="Calibri"/>
        </w:rPr>
        <w:t>Wiens</w:t>
      </w:r>
      <w:proofErr w:type="spellEnd"/>
      <w:r w:rsidRPr="00D50280">
        <w:rPr>
          <w:rFonts w:ascii="Calibri" w:hAnsi="Calibri" w:cs="Calibri"/>
        </w:rPr>
        <w:t xml:space="preserve">, Ernesto Antônio Rossi, Fabio Augusto da Silva, Francisco de Assis de Almeida Pereira, José Carlos </w:t>
      </w:r>
      <w:proofErr w:type="spellStart"/>
      <w:r w:rsidRPr="00D50280">
        <w:rPr>
          <w:rFonts w:ascii="Calibri" w:hAnsi="Calibri" w:cs="Calibri"/>
        </w:rPr>
        <w:t>Cesario</w:t>
      </w:r>
      <w:proofErr w:type="spellEnd"/>
      <w:r w:rsidRPr="00D50280">
        <w:rPr>
          <w:rFonts w:ascii="Calibri" w:hAnsi="Calibri" w:cs="Calibri"/>
        </w:rPr>
        <w:t xml:space="preserve"> Pereira, </w:t>
      </w:r>
      <w:proofErr w:type="spellStart"/>
      <w:r w:rsidRPr="00D50280">
        <w:rPr>
          <w:rFonts w:ascii="Calibri" w:hAnsi="Calibri" w:cs="Calibri"/>
        </w:rPr>
        <w:t>Lucimari</w:t>
      </w:r>
      <w:proofErr w:type="spellEnd"/>
      <w:r w:rsidRPr="00D50280">
        <w:rPr>
          <w:rFonts w:ascii="Calibri" w:hAnsi="Calibri" w:cs="Calibri"/>
        </w:rPr>
        <w:t xml:space="preserve"> da Luz </w:t>
      </w:r>
      <w:proofErr w:type="spellStart"/>
      <w:r w:rsidRPr="00D50280">
        <w:rPr>
          <w:rFonts w:ascii="Calibri" w:hAnsi="Calibri" w:cs="Calibri"/>
        </w:rPr>
        <w:t>Perussi</w:t>
      </w:r>
      <w:proofErr w:type="spellEnd"/>
      <w:r w:rsidRPr="00D50280">
        <w:rPr>
          <w:rFonts w:ascii="Calibri" w:hAnsi="Calibri" w:cs="Calibri"/>
        </w:rPr>
        <w:t xml:space="preserve"> </w:t>
      </w:r>
      <w:proofErr w:type="spellStart"/>
      <w:r w:rsidRPr="00D50280">
        <w:rPr>
          <w:rFonts w:ascii="Calibri" w:hAnsi="Calibri" w:cs="Calibri"/>
        </w:rPr>
        <w:t>Nicolotte</w:t>
      </w:r>
      <w:proofErr w:type="spellEnd"/>
      <w:r w:rsidRPr="00D50280">
        <w:rPr>
          <w:rFonts w:ascii="Calibri" w:hAnsi="Calibri" w:cs="Calibri"/>
        </w:rPr>
        <w:t xml:space="preserve">, Luiz Carlos Teixeira da Luz, Mari Lucia </w:t>
      </w:r>
      <w:proofErr w:type="spellStart"/>
      <w:r w:rsidRPr="00D50280">
        <w:rPr>
          <w:rFonts w:ascii="Calibri" w:hAnsi="Calibri" w:cs="Calibri"/>
        </w:rPr>
        <w:t>Perussi</w:t>
      </w:r>
      <w:proofErr w:type="spellEnd"/>
      <w:r w:rsidRPr="00D50280">
        <w:rPr>
          <w:rFonts w:ascii="Calibri" w:hAnsi="Calibri" w:cs="Calibri"/>
        </w:rPr>
        <w:t xml:space="preserve">, Maria Inês </w:t>
      </w:r>
      <w:proofErr w:type="spellStart"/>
      <w:r w:rsidRPr="00D50280">
        <w:rPr>
          <w:rFonts w:ascii="Calibri" w:hAnsi="Calibri" w:cs="Calibri"/>
        </w:rPr>
        <w:t>Tomacheski</w:t>
      </w:r>
      <w:proofErr w:type="spellEnd"/>
      <w:r w:rsidRPr="00D5028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Mario Roberto Gurgel, </w:t>
      </w:r>
      <w:r w:rsidRPr="00D50280">
        <w:rPr>
          <w:rFonts w:ascii="Calibri" w:hAnsi="Calibri" w:cs="Calibri"/>
        </w:rPr>
        <w:t xml:space="preserve">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 xml:space="preserve">, Michelle Goinski, Paulo Cesar dos Santos Cardoso, Vanderlei José </w:t>
      </w:r>
      <w:proofErr w:type="spellStart"/>
      <w:r w:rsidRPr="00D50280">
        <w:rPr>
          <w:rFonts w:ascii="Calibri" w:hAnsi="Calibri" w:cs="Calibri"/>
        </w:rPr>
        <w:t>Giaretta</w:t>
      </w:r>
      <w:proofErr w:type="spellEnd"/>
      <w:r w:rsidRPr="00D50280">
        <w:rPr>
          <w:rFonts w:ascii="Calibri" w:hAnsi="Calibri" w:cs="Calibri"/>
        </w:rPr>
        <w:t>.</w:t>
      </w:r>
    </w:p>
    <w:p w:rsidR="002D13B0" w:rsidRPr="00D50280" w:rsidRDefault="002D13B0" w:rsidP="002D13B0">
      <w:pPr>
        <w:jc w:val="both"/>
        <w:rPr>
          <w:rFonts w:ascii="Calibri" w:hAnsi="Calibri" w:cs="Calibri"/>
        </w:rPr>
      </w:pPr>
      <w:r w:rsidRPr="00D50280">
        <w:rPr>
          <w:rFonts w:ascii="Calibri" w:hAnsi="Calibri" w:cs="Calibri"/>
        </w:rPr>
        <w:t xml:space="preserve">Ata da </w:t>
      </w:r>
      <w:r>
        <w:rPr>
          <w:rFonts w:ascii="Calibri" w:hAnsi="Calibri" w:cs="Calibri"/>
        </w:rPr>
        <w:t>terceira</w:t>
      </w:r>
      <w:r w:rsidRPr="00D50280">
        <w:rPr>
          <w:rFonts w:ascii="Calibri" w:hAnsi="Calibri" w:cs="Calibri"/>
        </w:rPr>
        <w:t xml:space="preserve"> reunião do Conselho Municipal de Administração e Previdência, Conselho Fiscal e Conselho Diretor do IPMAT</w:t>
      </w:r>
      <w:r>
        <w:rPr>
          <w:rFonts w:ascii="Calibri" w:hAnsi="Calibri" w:cs="Calibri"/>
        </w:rPr>
        <w:t xml:space="preserve"> juntamente com o Comitê de Investimentos</w:t>
      </w:r>
      <w:r w:rsidRPr="00D5028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no dia 12 (doze</w:t>
      </w:r>
      <w:r w:rsidRPr="00D50280">
        <w:rPr>
          <w:rFonts w:ascii="Calibri" w:hAnsi="Calibri" w:cs="Calibri"/>
        </w:rPr>
        <w:t xml:space="preserve">) do mês de </w:t>
      </w:r>
      <w:r>
        <w:rPr>
          <w:rFonts w:ascii="Calibri" w:hAnsi="Calibri" w:cs="Calibri"/>
        </w:rPr>
        <w:t>junho</w:t>
      </w:r>
      <w:r w:rsidRPr="00D50280">
        <w:rPr>
          <w:rFonts w:ascii="Calibri" w:hAnsi="Calibri" w:cs="Calibri"/>
        </w:rPr>
        <w:t xml:space="preserve"> do ano de 2019 (dois mil e dezenove), às 0</w:t>
      </w:r>
      <w:r>
        <w:rPr>
          <w:rFonts w:ascii="Calibri" w:hAnsi="Calibri" w:cs="Calibri"/>
        </w:rPr>
        <w:t xml:space="preserve">9 </w:t>
      </w:r>
      <w:r w:rsidRPr="00D50280">
        <w:rPr>
          <w:rFonts w:ascii="Calibri" w:hAnsi="Calibri" w:cs="Calibri"/>
        </w:rPr>
        <w:t>(</w:t>
      </w:r>
      <w:r>
        <w:rPr>
          <w:rFonts w:ascii="Calibri" w:hAnsi="Calibri" w:cs="Calibri"/>
        </w:rPr>
        <w:t>nove</w:t>
      </w:r>
      <w:r w:rsidRPr="00D50280">
        <w:rPr>
          <w:rFonts w:ascii="Calibri" w:hAnsi="Calibri" w:cs="Calibri"/>
        </w:rPr>
        <w:t xml:space="preserve">) horas, </w:t>
      </w:r>
      <w:r>
        <w:rPr>
          <w:rFonts w:ascii="Calibri" w:hAnsi="Calibri" w:cs="Calibri"/>
        </w:rPr>
        <w:t>na ASSEMAT</w:t>
      </w:r>
      <w:r w:rsidRPr="00D50280">
        <w:rPr>
          <w:rFonts w:ascii="Calibri" w:hAnsi="Calibri" w:cs="Calibri"/>
        </w:rPr>
        <w:t xml:space="preserve">, sito à Rua </w:t>
      </w:r>
      <w:proofErr w:type="spellStart"/>
      <w:r>
        <w:rPr>
          <w:rFonts w:ascii="Calibri" w:hAnsi="Calibri" w:cs="Calibri"/>
        </w:rPr>
        <w:t>Antonio</w:t>
      </w:r>
      <w:proofErr w:type="spellEnd"/>
      <w:r>
        <w:rPr>
          <w:rFonts w:ascii="Calibri" w:hAnsi="Calibri" w:cs="Calibri"/>
        </w:rPr>
        <w:t xml:space="preserve"> Batista de Siqueira</w:t>
      </w:r>
      <w:r w:rsidRPr="00D5028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622</w:t>
      </w:r>
      <w:r w:rsidRPr="00D50280">
        <w:rPr>
          <w:rFonts w:ascii="Calibri" w:hAnsi="Calibri" w:cs="Calibri"/>
        </w:rPr>
        <w:t xml:space="preserve">, Vila Santa Terezinha, Almirante Tamandaré, Paraná. A Senhora Diretora Presidente, 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>, abriu a reunião explanando os assunto</w:t>
      </w:r>
      <w:r>
        <w:rPr>
          <w:rFonts w:ascii="Calibri" w:hAnsi="Calibri" w:cs="Calibri"/>
        </w:rPr>
        <w:t xml:space="preserve">s em pauta. Nesta semana o IPMAT recebeu o oficio nº 2019610-01-GAB solicitando o parcelamento do saldo de débitos previdenciários da parte patronal (vencidos e a vencer), referente às competências do período de 01/2019 </w:t>
      </w:r>
      <w:proofErr w:type="gramStart"/>
      <w:r>
        <w:rPr>
          <w:rFonts w:ascii="Calibri" w:hAnsi="Calibri" w:cs="Calibri"/>
        </w:rPr>
        <w:t>à</w:t>
      </w:r>
      <w:proofErr w:type="gramEnd"/>
      <w:r>
        <w:rPr>
          <w:rFonts w:ascii="Calibri" w:hAnsi="Calibri" w:cs="Calibri"/>
        </w:rPr>
        <w:t xml:space="preserve"> 12/2019 (incluindo 13º salário), de acordo com o art. 5º, da portaria nº 402/2008 e das normatizações da mesma previstas nas portarias nº 21/2013 e nº 307/2013, do Ministério da Previdência Social. A Diretora Presidente ressaltou que os parcelamentos anteriores firmados entre IPMAT e Prefeitura Municipal, estão sendo pagos corretamente e em dia. O </w:t>
      </w:r>
      <w:proofErr w:type="spellStart"/>
      <w:r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 xml:space="preserve"> Luiz e pelo </w:t>
      </w:r>
      <w:proofErr w:type="spellStart"/>
      <w:r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Atemildo</w:t>
      </w:r>
      <w:proofErr w:type="spellEnd"/>
      <w:r>
        <w:rPr>
          <w:rFonts w:ascii="Calibri" w:hAnsi="Calibri" w:cs="Calibri"/>
        </w:rPr>
        <w:t xml:space="preserve">, manifestaram entendimento de que o parcelamento é vantajoso para o IPMAT, pois garante a rentabilidade e o pagamento em atraso gera multa e juros. </w:t>
      </w:r>
      <w:r w:rsidRPr="007C684E">
        <w:rPr>
          <w:rFonts w:ascii="Calibri" w:hAnsi="Calibri" w:cs="Calibri"/>
        </w:rPr>
        <w:t xml:space="preserve">Mesmo com o pagamento regular dos parcelamentos anteriores e dos aportes, a prefeitura municipal não </w:t>
      </w:r>
      <w:proofErr w:type="spellStart"/>
      <w:r w:rsidRPr="007C684E">
        <w:rPr>
          <w:rFonts w:ascii="Calibri" w:hAnsi="Calibri" w:cs="Calibri"/>
        </w:rPr>
        <w:t>esta</w:t>
      </w:r>
      <w:proofErr w:type="spellEnd"/>
      <w:r w:rsidRPr="007C684E">
        <w:rPr>
          <w:rFonts w:ascii="Calibri" w:hAnsi="Calibri" w:cs="Calibri"/>
        </w:rPr>
        <w:t xml:space="preserve"> conseguindo manter em dia o pagamento das cotas.</w:t>
      </w:r>
      <w:r w:rsidRPr="00971C1F">
        <w:rPr>
          <w:rFonts w:ascii="Calibri" w:hAnsi="Calibri" w:cs="Calibri"/>
          <w:color w:val="FF0000"/>
        </w:rPr>
        <w:t xml:space="preserve"> </w:t>
      </w:r>
      <w:r w:rsidRPr="007C684E">
        <w:rPr>
          <w:rFonts w:ascii="Calibri" w:hAnsi="Calibri" w:cs="Calibri"/>
        </w:rPr>
        <w:t xml:space="preserve">Assim, foi perguntado se todos os presentes estão de acordo com o solicitado </w:t>
      </w:r>
      <w:r w:rsidRPr="007C684E">
        <w:rPr>
          <w:rFonts w:ascii="Calibri" w:hAnsi="Calibri" w:cs="Calibri"/>
        </w:rPr>
        <w:lastRenderedPageBreak/>
        <w:t xml:space="preserve">pelo </w:t>
      </w:r>
      <w:proofErr w:type="spellStart"/>
      <w:r w:rsidRPr="007C684E">
        <w:rPr>
          <w:rFonts w:ascii="Calibri" w:hAnsi="Calibri" w:cs="Calibri"/>
        </w:rPr>
        <w:t>Sr</w:t>
      </w:r>
      <w:proofErr w:type="spellEnd"/>
      <w:r w:rsidRPr="007C684E">
        <w:rPr>
          <w:rFonts w:ascii="Calibri" w:hAnsi="Calibri" w:cs="Calibri"/>
        </w:rPr>
        <w:t xml:space="preserve"> Prefeito, Gerson </w:t>
      </w:r>
      <w:proofErr w:type="spellStart"/>
      <w:r w:rsidRPr="007C684E">
        <w:rPr>
          <w:rFonts w:ascii="Calibri" w:hAnsi="Calibri" w:cs="Calibri"/>
        </w:rPr>
        <w:t>Colodel</w:t>
      </w:r>
      <w:proofErr w:type="spellEnd"/>
      <w:r w:rsidRPr="007C684E">
        <w:rPr>
          <w:rFonts w:ascii="Calibri" w:hAnsi="Calibri" w:cs="Calibri"/>
        </w:rPr>
        <w:t xml:space="preserve">, o </w:t>
      </w:r>
      <w:proofErr w:type="spellStart"/>
      <w:r w:rsidRPr="007C684E">
        <w:rPr>
          <w:rFonts w:ascii="Calibri" w:hAnsi="Calibri" w:cs="Calibri"/>
        </w:rPr>
        <w:t>Sr</w:t>
      </w:r>
      <w:proofErr w:type="spellEnd"/>
      <w:r w:rsidRPr="007C684E">
        <w:rPr>
          <w:rFonts w:ascii="Calibri" w:hAnsi="Calibri" w:cs="Calibri"/>
        </w:rPr>
        <w:t xml:space="preserve"> Ernesto fez a pergunta se é possível autorizar parcelamentos dos períodos a vencer; a presidente respondeu que não tem impedimento legal, sendo assim foi aprovado por unanimidade e seguirá os tramites.</w:t>
      </w:r>
      <w:r>
        <w:rPr>
          <w:rFonts w:ascii="Calibri" w:hAnsi="Calibri" w:cs="Calibri"/>
        </w:rPr>
        <w:t xml:space="preserve"> Passou-se a palavra ao </w:t>
      </w:r>
      <w:proofErr w:type="spellStart"/>
      <w:r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 xml:space="preserve"> contador do Instituto, Anderson </w:t>
      </w:r>
      <w:proofErr w:type="spellStart"/>
      <w:r>
        <w:rPr>
          <w:rFonts w:ascii="Calibri" w:hAnsi="Calibri" w:cs="Calibri"/>
        </w:rPr>
        <w:t>Wiens</w:t>
      </w:r>
      <w:proofErr w:type="spellEnd"/>
      <w:r>
        <w:rPr>
          <w:rFonts w:ascii="Calibri" w:hAnsi="Calibri" w:cs="Calibri"/>
        </w:rPr>
        <w:t xml:space="preserve">, para a prestação de contas do 2º Bimestre de 2019. Iniciou-se demonstrando as receitas arrecadadas no bimestre. Arrecadamos um montante de R$ 5.039.745,16 (cinco milhões trinta e nove mil setecentos e quarenta e cinco reais e dezesseis centavos) que incluem Cota Patronal – R$ 9.874,86 (nove mil oitocentos e setenta e quatro reais e oitenta e seis centavos), Cota Servidor – R$ 702.300,84 (setecentos e dois mil trezentos reais e oitenta e quatro centavos), Taxa Administrativa – R$ 63.006,55 (sessenta e três mil seis reais e cinquenta e cinco centavos), Parcelamentos – R$ 998.046,37 (novecentos e noventa e oito mil quarenta e seis reais e trinta e sete centavos), Aportes – R$ 435.555,56 (quatrocentos e trinta e cinco mil quinhentos e cinquenta e cinco reais e cinquenta e seis centavos), Compensação Previdenciária – R$ 90.180,48 (noventa mil cento e oitenta reais e quarenta e oito centavos) e Rendimento de aplicações financeiras – R$ 2.740.780,50 (dois milhões setecentos e quarenta mil setecentos e oitenta reais e cinquenta centavos). Referente as despesas administrativas, despendemos um montante de R$ 124.494,63 (cento e vinte e quatro mil quatrocentos e noventa e quatro reais e sessenta e três centavos), tendo um déficit de R$ 61.488,08 (sessenta e um mil quatrocentos e oitenta e oito reais e oito centavos), que </w:t>
      </w:r>
      <w:proofErr w:type="spellStart"/>
      <w:r>
        <w:rPr>
          <w:rFonts w:ascii="Calibri" w:hAnsi="Calibri" w:cs="Calibri"/>
        </w:rPr>
        <w:t>esta</w:t>
      </w:r>
      <w:proofErr w:type="spellEnd"/>
      <w:r>
        <w:rPr>
          <w:rFonts w:ascii="Calibri" w:hAnsi="Calibri" w:cs="Calibri"/>
        </w:rPr>
        <w:t xml:space="preserve"> sendo sanado com reserva administrativa que o IPMAT conseguiu ter durante os anos passados. A folha de aposentados e pensionistas totalizou um montante de R$ 2.258.288,01 (dois milhões duzentos e cinquenta e oito mil duzentos e oitenta e oito reais e um centavo), sendo R$ 1.944.023,63 (um milhão novecentos e quarenta e quatro mil vinte e três reais e sessenta e três centavos) para aposentados, R$ 311.751,68 (trezentos e onze mil setecentos e cinquenta um reais e sessenta e oito centavos) para pensionistas e despesas com tarifas bancárias totalizaram R$ 2.512,70 (dois mil quinhentos e doze reais e setenta centavos). Hoje são 530 aposentados e 116 pensionistas. Temos um déficit de R$ 112.510,38 (cento e doze mil quinhentos e dez reais e trinta e oito centavos), referente ao valor arrecadado de recursos previdenciários. O </w:t>
      </w:r>
      <w:proofErr w:type="spellStart"/>
      <w:r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 xml:space="preserve"> Anderson e a </w:t>
      </w:r>
      <w:proofErr w:type="spellStart"/>
      <w:r>
        <w:rPr>
          <w:rFonts w:ascii="Calibri" w:hAnsi="Calibri" w:cs="Calibri"/>
        </w:rPr>
        <w:t>Sra</w:t>
      </w:r>
      <w:proofErr w:type="spellEnd"/>
      <w:r>
        <w:rPr>
          <w:rFonts w:ascii="Calibri" w:hAnsi="Calibri" w:cs="Calibri"/>
        </w:rPr>
        <w:t xml:space="preserve"> Silvana colocaram que, apesar de nossa consultoria financeira nos orientar que devemos alocar em fundos do tipo gestão </w:t>
      </w:r>
      <w:proofErr w:type="spellStart"/>
      <w:r>
        <w:rPr>
          <w:rFonts w:ascii="Calibri" w:hAnsi="Calibri" w:cs="Calibri"/>
        </w:rPr>
        <w:t>duration</w:t>
      </w:r>
      <w:proofErr w:type="spellEnd"/>
      <w:r>
        <w:rPr>
          <w:rFonts w:ascii="Calibri" w:hAnsi="Calibri" w:cs="Calibri"/>
        </w:rPr>
        <w:t xml:space="preserve">, IRFM, IRFM 1 e sair dos fundos tipo IMA, nós continuamos alocando nos fundos tipo IMA-B, IMA-B5 e IMA-B5+, que tem mostrado melhor rentabilidade comparado com o indicado pela consultoria, estes apresentam maior rentabilidade atualmente e por isso ultrapassamos a meta atuarial com segurança da renda fixa. A Diretora Presidente, Maria Silvana </w:t>
      </w:r>
      <w:proofErr w:type="spellStart"/>
      <w:r>
        <w:rPr>
          <w:rFonts w:ascii="Calibri" w:hAnsi="Calibri" w:cs="Calibri"/>
        </w:rPr>
        <w:t>Buzato</w:t>
      </w:r>
      <w:proofErr w:type="spellEnd"/>
      <w:r>
        <w:rPr>
          <w:rFonts w:ascii="Calibri" w:hAnsi="Calibri" w:cs="Calibri"/>
        </w:rPr>
        <w:t xml:space="preserve">, perguntou se todos os presentes aprovavam a prestação de contas e todos estão de acordo. O </w:t>
      </w:r>
      <w:proofErr w:type="spellStart"/>
      <w:r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Atemildo</w:t>
      </w:r>
      <w:proofErr w:type="spellEnd"/>
      <w:r>
        <w:rPr>
          <w:rFonts w:ascii="Calibri" w:hAnsi="Calibri" w:cs="Calibri"/>
        </w:rPr>
        <w:t xml:space="preserve"> perguntou se com a reforma da previdência o IPMAT melhora ou piora, no sentido financeiro. Salientou-se que, por enquanto, não tem nada definitivo na reforma, pois ainda </w:t>
      </w:r>
      <w:proofErr w:type="spellStart"/>
      <w:r>
        <w:rPr>
          <w:rFonts w:ascii="Calibri" w:hAnsi="Calibri" w:cs="Calibri"/>
        </w:rPr>
        <w:t>esta</w:t>
      </w:r>
      <w:proofErr w:type="spellEnd"/>
      <w:r>
        <w:rPr>
          <w:rFonts w:ascii="Calibri" w:hAnsi="Calibri" w:cs="Calibri"/>
        </w:rPr>
        <w:t xml:space="preserve"> em discussão, se atingirá os regimes próprios – municípios - ou não e se atingir, a grande maioria terá mais que contribuir por mais tempo dando estabilidade aos regimes próprios. </w:t>
      </w:r>
      <w:r w:rsidRPr="00D50280">
        <w:rPr>
          <w:rFonts w:ascii="Calibri" w:hAnsi="Calibri" w:cs="Calibri"/>
        </w:rPr>
        <w:t xml:space="preserve">A Diretora Presidente, 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>, pergunto</w:t>
      </w:r>
      <w:r>
        <w:rPr>
          <w:rFonts w:ascii="Calibri" w:hAnsi="Calibri" w:cs="Calibri"/>
        </w:rPr>
        <w:t xml:space="preserve">u se possuíam dúvidas e sem nenhuma e todos os assuntos sanados, </w:t>
      </w:r>
      <w:r w:rsidRPr="00D50280">
        <w:rPr>
          <w:rFonts w:ascii="Calibri" w:hAnsi="Calibri" w:cs="Calibri"/>
        </w:rPr>
        <w:t xml:space="preserve">a reunião foi encerrada pela Diretora Presidente do IPMAT, senhora 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 xml:space="preserve">, determinando que fosse lavrada a presente ata e, após lida e aprovada, vai assinada por mim, Michelle Goinski, secretaria ad hoc e pela Diretora Presidente Senhora 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>.</w:t>
      </w:r>
    </w:p>
    <w:p w:rsidR="002D13B0" w:rsidRPr="00FD145E" w:rsidRDefault="002D13B0" w:rsidP="002D13B0">
      <w:pPr>
        <w:pBdr>
          <w:bottom w:val="single" w:sz="12" w:space="1" w:color="auto"/>
        </w:pBdr>
      </w:pPr>
    </w:p>
    <w:p w:rsidR="002D13B0" w:rsidRPr="00D50280" w:rsidRDefault="002D13B0" w:rsidP="002D13B0">
      <w:pPr>
        <w:jc w:val="both"/>
        <w:rPr>
          <w:rFonts w:ascii="Calibri" w:hAnsi="Calibri" w:cs="Calibri"/>
        </w:rPr>
      </w:pPr>
      <w:r w:rsidRPr="00D50280">
        <w:rPr>
          <w:rFonts w:ascii="Calibri" w:hAnsi="Calibri" w:cs="Calibri"/>
        </w:rPr>
        <w:t xml:space="preserve">Lista de presença da </w:t>
      </w:r>
      <w:r>
        <w:rPr>
          <w:rFonts w:ascii="Calibri" w:hAnsi="Calibri" w:cs="Calibri"/>
        </w:rPr>
        <w:t>quarta</w:t>
      </w:r>
      <w:r w:rsidRPr="00D50280">
        <w:rPr>
          <w:rFonts w:ascii="Calibri" w:hAnsi="Calibri" w:cs="Calibri"/>
        </w:rPr>
        <w:t xml:space="preserve"> reunião do Conselho Municipal de Administração e Previdência, Conselho Fiscal e Conselh</w:t>
      </w:r>
      <w:r>
        <w:rPr>
          <w:rFonts w:ascii="Calibri" w:hAnsi="Calibri" w:cs="Calibri"/>
        </w:rPr>
        <w:t xml:space="preserve">o Diretor, e Comitê de Investimentos, do </w:t>
      </w:r>
      <w:r w:rsidRPr="00D50280">
        <w:rPr>
          <w:rFonts w:ascii="Calibri" w:hAnsi="Calibri" w:cs="Calibri"/>
        </w:rPr>
        <w:t>exercício de dois mil e dezenove, realizado no dia</w:t>
      </w:r>
      <w:r>
        <w:rPr>
          <w:rFonts w:ascii="Calibri" w:hAnsi="Calibri" w:cs="Calibri"/>
        </w:rPr>
        <w:t xml:space="preserve"> oito </w:t>
      </w:r>
      <w:r w:rsidRPr="00D50280">
        <w:rPr>
          <w:rFonts w:ascii="Calibri" w:hAnsi="Calibri" w:cs="Calibri"/>
        </w:rPr>
        <w:t xml:space="preserve">do mês de </w:t>
      </w:r>
      <w:r>
        <w:rPr>
          <w:rFonts w:ascii="Calibri" w:hAnsi="Calibri" w:cs="Calibri"/>
        </w:rPr>
        <w:t>agosto</w:t>
      </w:r>
      <w:r w:rsidRPr="00D50280">
        <w:rPr>
          <w:rFonts w:ascii="Calibri" w:hAnsi="Calibri" w:cs="Calibri"/>
        </w:rPr>
        <w:t xml:space="preserve"> do corrente ano, </w:t>
      </w:r>
      <w:r>
        <w:rPr>
          <w:rFonts w:ascii="Calibri" w:hAnsi="Calibri" w:cs="Calibri"/>
        </w:rPr>
        <w:t>na ASSEMAT</w:t>
      </w:r>
      <w:r w:rsidRPr="00D50280">
        <w:rPr>
          <w:rFonts w:ascii="Calibri" w:hAnsi="Calibri" w:cs="Calibri"/>
        </w:rPr>
        <w:t xml:space="preserve">. O assunto em pauta: Prestação de contas do </w:t>
      </w:r>
      <w:r>
        <w:rPr>
          <w:rFonts w:ascii="Calibri" w:hAnsi="Calibri" w:cs="Calibri"/>
        </w:rPr>
        <w:t>3</w:t>
      </w:r>
      <w:r w:rsidRPr="00D50280">
        <w:rPr>
          <w:rFonts w:ascii="Calibri" w:hAnsi="Calibri" w:cs="Calibri"/>
        </w:rPr>
        <w:t xml:space="preserve">º bimestre </w:t>
      </w:r>
      <w:r>
        <w:rPr>
          <w:rFonts w:ascii="Calibri" w:hAnsi="Calibri" w:cs="Calibri"/>
        </w:rPr>
        <w:t xml:space="preserve">do exercício de </w:t>
      </w:r>
      <w:r w:rsidRPr="00D50280">
        <w:rPr>
          <w:rFonts w:ascii="Calibri" w:hAnsi="Calibri" w:cs="Calibri"/>
        </w:rPr>
        <w:t xml:space="preserve">2019, </w:t>
      </w:r>
      <w:r>
        <w:rPr>
          <w:rFonts w:ascii="Calibri" w:hAnsi="Calibri" w:cs="Calibri"/>
        </w:rPr>
        <w:t>Capacitação: Analise de Investimentos e Cenário Econômico</w:t>
      </w:r>
      <w:r w:rsidRPr="00D50280">
        <w:rPr>
          <w:rFonts w:ascii="Calibri" w:hAnsi="Calibri" w:cs="Calibri"/>
        </w:rPr>
        <w:t xml:space="preserve">, demais assuntos pertinentes.  </w:t>
      </w:r>
    </w:p>
    <w:p w:rsidR="002D13B0" w:rsidRPr="00D50280" w:rsidRDefault="002D13B0" w:rsidP="002D13B0">
      <w:pPr>
        <w:jc w:val="both"/>
        <w:rPr>
          <w:rFonts w:ascii="Calibri" w:hAnsi="Calibri" w:cs="Calibri"/>
        </w:rPr>
      </w:pPr>
      <w:r w:rsidRPr="00D50280">
        <w:rPr>
          <w:rFonts w:ascii="Calibri" w:hAnsi="Calibri" w:cs="Calibri"/>
        </w:rPr>
        <w:t xml:space="preserve">Amarildo Batista França, </w:t>
      </w:r>
      <w:proofErr w:type="spellStart"/>
      <w:r w:rsidRPr="00D50280">
        <w:rPr>
          <w:rFonts w:ascii="Calibri" w:hAnsi="Calibri" w:cs="Calibri"/>
        </w:rPr>
        <w:t>Atemildo</w:t>
      </w:r>
      <w:proofErr w:type="spellEnd"/>
      <w:r w:rsidRPr="00D50280">
        <w:rPr>
          <w:rFonts w:ascii="Calibri" w:hAnsi="Calibri" w:cs="Calibri"/>
        </w:rPr>
        <w:t xml:space="preserve"> Dias dos Santos, Carlos Roberto </w:t>
      </w:r>
      <w:proofErr w:type="spellStart"/>
      <w:r w:rsidRPr="00D50280">
        <w:rPr>
          <w:rFonts w:ascii="Calibri" w:hAnsi="Calibri" w:cs="Calibri"/>
        </w:rPr>
        <w:t>Zilli</w:t>
      </w:r>
      <w:proofErr w:type="spellEnd"/>
      <w:r w:rsidRPr="00D50280">
        <w:rPr>
          <w:rFonts w:ascii="Calibri" w:hAnsi="Calibri" w:cs="Calibri"/>
        </w:rPr>
        <w:t xml:space="preserve">, </w:t>
      </w:r>
      <w:proofErr w:type="spellStart"/>
      <w:r w:rsidRPr="00D50280">
        <w:rPr>
          <w:rFonts w:ascii="Calibri" w:hAnsi="Calibri" w:cs="Calibri"/>
        </w:rPr>
        <w:t>Claudeci</w:t>
      </w:r>
      <w:proofErr w:type="spellEnd"/>
      <w:r w:rsidRPr="00D50280">
        <w:rPr>
          <w:rFonts w:ascii="Calibri" w:hAnsi="Calibri" w:cs="Calibri"/>
        </w:rPr>
        <w:t xml:space="preserve"> Aparecido Rodrigues, Deise Pereira Santos Carvalho, Anderson </w:t>
      </w:r>
      <w:proofErr w:type="spellStart"/>
      <w:r w:rsidRPr="00D50280">
        <w:rPr>
          <w:rFonts w:ascii="Calibri" w:hAnsi="Calibri" w:cs="Calibri"/>
        </w:rPr>
        <w:t>Wiens</w:t>
      </w:r>
      <w:proofErr w:type="spellEnd"/>
      <w:r w:rsidRPr="00D50280">
        <w:rPr>
          <w:rFonts w:ascii="Calibri" w:hAnsi="Calibri" w:cs="Calibri"/>
        </w:rPr>
        <w:t xml:space="preserve">, Ernesto Antônio Rossi, Fabio Augusto da Silva, Francisco de Assis de Almeida Pereira, José Carlos </w:t>
      </w:r>
      <w:proofErr w:type="spellStart"/>
      <w:r w:rsidRPr="00D50280">
        <w:rPr>
          <w:rFonts w:ascii="Calibri" w:hAnsi="Calibri" w:cs="Calibri"/>
        </w:rPr>
        <w:t>Cesario</w:t>
      </w:r>
      <w:proofErr w:type="spellEnd"/>
      <w:r w:rsidRPr="00D50280">
        <w:rPr>
          <w:rFonts w:ascii="Calibri" w:hAnsi="Calibri" w:cs="Calibri"/>
        </w:rPr>
        <w:t xml:space="preserve"> Pereira, </w:t>
      </w:r>
      <w:proofErr w:type="spellStart"/>
      <w:r w:rsidRPr="00D50280">
        <w:rPr>
          <w:rFonts w:ascii="Calibri" w:hAnsi="Calibri" w:cs="Calibri"/>
        </w:rPr>
        <w:t>Lucimari</w:t>
      </w:r>
      <w:proofErr w:type="spellEnd"/>
      <w:r w:rsidRPr="00D50280">
        <w:rPr>
          <w:rFonts w:ascii="Calibri" w:hAnsi="Calibri" w:cs="Calibri"/>
        </w:rPr>
        <w:t xml:space="preserve"> da Luz </w:t>
      </w:r>
      <w:proofErr w:type="spellStart"/>
      <w:r w:rsidRPr="00D50280">
        <w:rPr>
          <w:rFonts w:ascii="Calibri" w:hAnsi="Calibri" w:cs="Calibri"/>
        </w:rPr>
        <w:t>Perussi</w:t>
      </w:r>
      <w:proofErr w:type="spellEnd"/>
      <w:r w:rsidRPr="00D50280">
        <w:rPr>
          <w:rFonts w:ascii="Calibri" w:hAnsi="Calibri" w:cs="Calibri"/>
        </w:rPr>
        <w:t xml:space="preserve"> </w:t>
      </w:r>
      <w:proofErr w:type="spellStart"/>
      <w:r w:rsidRPr="00D50280">
        <w:rPr>
          <w:rFonts w:ascii="Calibri" w:hAnsi="Calibri" w:cs="Calibri"/>
        </w:rPr>
        <w:t>Nicolotte</w:t>
      </w:r>
      <w:proofErr w:type="spellEnd"/>
      <w:r w:rsidRPr="00D50280">
        <w:rPr>
          <w:rFonts w:ascii="Calibri" w:hAnsi="Calibri" w:cs="Calibri"/>
        </w:rPr>
        <w:t xml:space="preserve">, </w:t>
      </w:r>
      <w:r w:rsidRPr="00D50280">
        <w:rPr>
          <w:rFonts w:ascii="Calibri" w:hAnsi="Calibri" w:cs="Calibri"/>
        </w:rPr>
        <w:lastRenderedPageBreak/>
        <w:t xml:space="preserve">Luiz Carlos Teixeira da Luz, Mari Lucia </w:t>
      </w:r>
      <w:proofErr w:type="spellStart"/>
      <w:r w:rsidRPr="00D50280">
        <w:rPr>
          <w:rFonts w:ascii="Calibri" w:hAnsi="Calibri" w:cs="Calibri"/>
        </w:rPr>
        <w:t>Perussi</w:t>
      </w:r>
      <w:proofErr w:type="spellEnd"/>
      <w:r w:rsidRPr="00D50280">
        <w:rPr>
          <w:rFonts w:ascii="Calibri" w:hAnsi="Calibri" w:cs="Calibri"/>
        </w:rPr>
        <w:t xml:space="preserve">, Maria Inês </w:t>
      </w:r>
      <w:proofErr w:type="spellStart"/>
      <w:r w:rsidRPr="00D50280">
        <w:rPr>
          <w:rFonts w:ascii="Calibri" w:hAnsi="Calibri" w:cs="Calibri"/>
        </w:rPr>
        <w:t>Tomacheski</w:t>
      </w:r>
      <w:proofErr w:type="spellEnd"/>
      <w:r w:rsidRPr="00D5028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Mario Roberto Gurgel, </w:t>
      </w:r>
      <w:r w:rsidRPr="00D50280">
        <w:rPr>
          <w:rFonts w:ascii="Calibri" w:hAnsi="Calibri" w:cs="Calibri"/>
        </w:rPr>
        <w:t xml:space="preserve">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 xml:space="preserve">, Michelle Goinski, Paulo Cesar dos Santos Cardoso, Vanderlei José </w:t>
      </w:r>
      <w:proofErr w:type="spellStart"/>
      <w:r w:rsidRPr="00D50280">
        <w:rPr>
          <w:rFonts w:ascii="Calibri" w:hAnsi="Calibri" w:cs="Calibri"/>
        </w:rPr>
        <w:t>Giaretta</w:t>
      </w:r>
      <w:proofErr w:type="spellEnd"/>
      <w:r w:rsidRPr="00D50280">
        <w:rPr>
          <w:rFonts w:ascii="Calibri" w:hAnsi="Calibri" w:cs="Calibri"/>
        </w:rPr>
        <w:t>.</w:t>
      </w:r>
    </w:p>
    <w:p w:rsidR="002D13B0" w:rsidRDefault="002D13B0" w:rsidP="002D13B0">
      <w:pPr>
        <w:jc w:val="both"/>
        <w:rPr>
          <w:rFonts w:ascii="Calibri" w:hAnsi="Calibri" w:cs="Calibri"/>
        </w:rPr>
      </w:pPr>
      <w:r w:rsidRPr="00D50280">
        <w:rPr>
          <w:rFonts w:ascii="Calibri" w:hAnsi="Calibri" w:cs="Calibri"/>
        </w:rPr>
        <w:t xml:space="preserve">Ata da </w:t>
      </w:r>
      <w:r>
        <w:rPr>
          <w:rFonts w:ascii="Calibri" w:hAnsi="Calibri" w:cs="Calibri"/>
        </w:rPr>
        <w:t>quarta</w:t>
      </w:r>
      <w:r w:rsidRPr="00D50280">
        <w:rPr>
          <w:rFonts w:ascii="Calibri" w:hAnsi="Calibri" w:cs="Calibri"/>
        </w:rPr>
        <w:t xml:space="preserve"> reunião do Conselho Municipal de Administração e Previdência, Conselho Fiscal e Conselho Diretor do IPMAT</w:t>
      </w:r>
      <w:r>
        <w:rPr>
          <w:rFonts w:ascii="Calibri" w:hAnsi="Calibri" w:cs="Calibri"/>
        </w:rPr>
        <w:t xml:space="preserve"> juntamente com o Comitê de Investimentos</w:t>
      </w:r>
      <w:r w:rsidRPr="00D5028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no dia oito</w:t>
      </w:r>
      <w:r w:rsidRPr="00D50280">
        <w:rPr>
          <w:rFonts w:ascii="Calibri" w:hAnsi="Calibri" w:cs="Calibri"/>
        </w:rPr>
        <w:t xml:space="preserve"> do mês de </w:t>
      </w:r>
      <w:r>
        <w:rPr>
          <w:rFonts w:ascii="Calibri" w:hAnsi="Calibri" w:cs="Calibri"/>
        </w:rPr>
        <w:t>agosto</w:t>
      </w:r>
      <w:r w:rsidRPr="00D50280">
        <w:rPr>
          <w:rFonts w:ascii="Calibri" w:hAnsi="Calibri" w:cs="Calibri"/>
        </w:rPr>
        <w:t xml:space="preserve"> do ano de dois mil e dezenove, às </w:t>
      </w:r>
      <w:r>
        <w:rPr>
          <w:rFonts w:ascii="Calibri" w:hAnsi="Calibri" w:cs="Calibri"/>
        </w:rPr>
        <w:t>oito</w:t>
      </w:r>
      <w:r w:rsidRPr="00D50280">
        <w:rPr>
          <w:rFonts w:ascii="Calibri" w:hAnsi="Calibri" w:cs="Calibri"/>
        </w:rPr>
        <w:t xml:space="preserve"> horas, </w:t>
      </w:r>
      <w:r>
        <w:rPr>
          <w:rFonts w:ascii="Calibri" w:hAnsi="Calibri" w:cs="Calibri"/>
        </w:rPr>
        <w:t>na ASSEMAT</w:t>
      </w:r>
      <w:r w:rsidRPr="00D50280">
        <w:rPr>
          <w:rFonts w:ascii="Calibri" w:hAnsi="Calibri" w:cs="Calibri"/>
        </w:rPr>
        <w:t xml:space="preserve">, sito à Rua </w:t>
      </w:r>
      <w:proofErr w:type="spellStart"/>
      <w:r>
        <w:rPr>
          <w:rFonts w:ascii="Calibri" w:hAnsi="Calibri" w:cs="Calibri"/>
        </w:rPr>
        <w:t>Antonio</w:t>
      </w:r>
      <w:proofErr w:type="spellEnd"/>
      <w:r>
        <w:rPr>
          <w:rFonts w:ascii="Calibri" w:hAnsi="Calibri" w:cs="Calibri"/>
        </w:rPr>
        <w:t xml:space="preserve"> Batista de Siqueira</w:t>
      </w:r>
      <w:r w:rsidRPr="00D5028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622</w:t>
      </w:r>
      <w:r w:rsidRPr="00D50280">
        <w:rPr>
          <w:rFonts w:ascii="Calibri" w:hAnsi="Calibri" w:cs="Calibri"/>
        </w:rPr>
        <w:t xml:space="preserve">, Vila Santa Terezinha, Almirante Tamandaré, Paraná. A Senhora Diretora Presidente, 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>, abriu a reunião explanando os assunto</w:t>
      </w:r>
      <w:r>
        <w:rPr>
          <w:rFonts w:ascii="Calibri" w:hAnsi="Calibri" w:cs="Calibri"/>
        </w:rPr>
        <w:t xml:space="preserve">s em pauta. Primeiramente, o </w:t>
      </w:r>
      <w:proofErr w:type="spellStart"/>
      <w:r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 xml:space="preserve"> contador do Instituto, Anderson </w:t>
      </w:r>
      <w:proofErr w:type="spellStart"/>
      <w:r>
        <w:rPr>
          <w:rFonts w:ascii="Calibri" w:hAnsi="Calibri" w:cs="Calibri"/>
        </w:rPr>
        <w:t>Wiens</w:t>
      </w:r>
      <w:proofErr w:type="spellEnd"/>
      <w:r>
        <w:rPr>
          <w:rFonts w:ascii="Calibri" w:hAnsi="Calibri" w:cs="Calibri"/>
        </w:rPr>
        <w:t>, explanará sobre a prestação de contas do 3º Bimestre de 2019. Iniciou-se demonstrando as receitas arrecadadas no bimestre. Arrecadamos um montante de R$ 11.797.860,36 (</w:t>
      </w:r>
      <w:r w:rsidRPr="00253A13">
        <w:rPr>
          <w:rFonts w:ascii="Calibri" w:hAnsi="Calibri" w:cs="Calibri"/>
        </w:rPr>
        <w:t>onze milhões setecentos e noventa e sete mil oitocentos e sessenta reais e trinta e seis centavos) que</w:t>
      </w:r>
      <w:r>
        <w:rPr>
          <w:rFonts w:ascii="Calibri" w:hAnsi="Calibri" w:cs="Calibri"/>
        </w:rPr>
        <w:t xml:space="preserve"> incluem Cota Patronal – R$ 10.159,84 (dez mil cento e cinquenta e nove reais e oitenta e quatro centavos), Cota Servidor – R$ 735.786,39 (setecentos e trinta e cinco mil setecentos e oitenta e seis reais e trinta e nove centavos), Taxa Administrativa – R$ 65.972,10 (sessenta e cinco mil novecentos e setenta e dois reais e dez centavos), Parcelamentos – R$ 1.029.906,39 (um milhão vinte e nove mil novecentos e seis reais e trinta e nove centavos), Aportes – R$ 435.555,56 (quatrocentos e trinta e cinco mil quinhentos e cinquenta e cinco reais e cinquenta e seis centavos), Compensação Previdenciária – R$ 91.124,74 (noventa e um mil cento e vinte e quatro reais e setenta e quatro centavos) e Rendimento de aplicações financeiras – R$ 9.429.355,34 (nove milhões quatrocentos e vinte e nove mil trezentos e cinquenta e cinco reais e trinta e quatro centavos). Referente as despesas administrativas, despendemos um montante de R$ 115.308,99 (cento e quinze mil trezentos e oito reais e noventa e nove centavos), tendo um déficit de R$ 49.366,89 (quarenta e nove mil trezentos e sessenta e seis reais e oitenta e nove centavos), que </w:t>
      </w:r>
      <w:proofErr w:type="spellStart"/>
      <w:r>
        <w:rPr>
          <w:rFonts w:ascii="Calibri" w:hAnsi="Calibri" w:cs="Calibri"/>
        </w:rPr>
        <w:t>esta</w:t>
      </w:r>
      <w:proofErr w:type="spellEnd"/>
      <w:r>
        <w:rPr>
          <w:rFonts w:ascii="Calibri" w:hAnsi="Calibri" w:cs="Calibri"/>
        </w:rPr>
        <w:t xml:space="preserve"> sendo sanado com reserva administrativa que o IPMAT conseguiu ter durante os anos passados. A folha de aposentados e pensionistas totalizou um montante de R$ 2.996.442,49 (dois milhões novecentos e noventa e seis mil quatrocentos e quarenta e dois reais e quarenta e nove centavos), sendo R$ 2.598.321,01 (dois milhões quinhentos e noventa e oito mil trezentos e vinte e um reais e um centavo) para aposentados, R$ 395.572,16 (trezentos e noventa e cinco mil quinhentos e setenta e dois reais e dezesseis centavos) para pensionistas e despesas com tarifas bancárias totalizaram R$ 2.549,32 (dois mil quinhentos e quarenta e nove reais e trinta e dois centavos). Hoje são 540 aposentados e 116 pensionistas. Temos um déficit de R$ 785.034,31 (setecentos e oitenta e cinco mil trinta e quatro reais e trinta e um centavos), referente ao valor arrecadado de recursos previdenciários e os gastos com os mesmos.  O </w:t>
      </w:r>
      <w:proofErr w:type="spellStart"/>
      <w:r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 xml:space="preserve"> Anderson e a </w:t>
      </w:r>
      <w:proofErr w:type="spellStart"/>
      <w:r>
        <w:rPr>
          <w:rFonts w:ascii="Calibri" w:hAnsi="Calibri" w:cs="Calibri"/>
        </w:rPr>
        <w:t>Sra</w:t>
      </w:r>
      <w:proofErr w:type="spellEnd"/>
      <w:r>
        <w:rPr>
          <w:rFonts w:ascii="Calibri" w:hAnsi="Calibri" w:cs="Calibri"/>
        </w:rPr>
        <w:t xml:space="preserve"> Silvana colocaram que, apesar de nossa consultoria financeira nos orientar a alocarmos em alguns mais conservadores </w:t>
      </w:r>
      <w:proofErr w:type="spellStart"/>
      <w:r>
        <w:rPr>
          <w:rFonts w:ascii="Calibri" w:hAnsi="Calibri" w:cs="Calibri"/>
        </w:rPr>
        <w:t>ue</w:t>
      </w:r>
      <w:proofErr w:type="spellEnd"/>
      <w:r>
        <w:rPr>
          <w:rFonts w:ascii="Calibri" w:hAnsi="Calibri" w:cs="Calibri"/>
        </w:rPr>
        <w:t xml:space="preserve"> devemos alocar em fundos do tipo gestão </w:t>
      </w:r>
      <w:proofErr w:type="spellStart"/>
      <w:r>
        <w:rPr>
          <w:rFonts w:ascii="Calibri" w:hAnsi="Calibri" w:cs="Calibri"/>
        </w:rPr>
        <w:t>duration</w:t>
      </w:r>
      <w:proofErr w:type="spellEnd"/>
      <w:r>
        <w:rPr>
          <w:rFonts w:ascii="Calibri" w:hAnsi="Calibri" w:cs="Calibri"/>
        </w:rPr>
        <w:t xml:space="preserve">, IRFM, IRFM 1 e sair dos fundos tipo IMA, nós continuamos alocando nos fundos tipo IMA-B, IMA-B5 e IMA-B5+, que tem mostrado melhor rentabilidade comparado com o indicado pela consultoria, estes apresentam maior rentabilidade atualmente e por isso ultrapassamos a meta atuarial com segurança da renda fixa. A Diretora Presidente, Maria Silvana </w:t>
      </w:r>
      <w:proofErr w:type="spellStart"/>
      <w:r>
        <w:rPr>
          <w:rFonts w:ascii="Calibri" w:hAnsi="Calibri" w:cs="Calibri"/>
        </w:rPr>
        <w:t>Buzato</w:t>
      </w:r>
      <w:proofErr w:type="spellEnd"/>
      <w:r>
        <w:rPr>
          <w:rFonts w:ascii="Calibri" w:hAnsi="Calibri" w:cs="Calibri"/>
        </w:rPr>
        <w:t xml:space="preserve">, perguntou se todos os presentes aprovavam a prestação de contas e todos estão de acordo. Após a prestação de contas, a </w:t>
      </w:r>
      <w:proofErr w:type="spellStart"/>
      <w:r>
        <w:rPr>
          <w:rFonts w:ascii="Calibri" w:hAnsi="Calibri" w:cs="Calibri"/>
        </w:rPr>
        <w:t>Srº</w:t>
      </w:r>
      <w:proofErr w:type="spellEnd"/>
      <w:r>
        <w:rPr>
          <w:rFonts w:ascii="Calibri" w:hAnsi="Calibri" w:cs="Calibri"/>
        </w:rPr>
        <w:t xml:space="preserve"> Samanta da empresa Credito e Mercado iniciou a capacitação citada. Apresentou-se aos presentes e iniciou a explanação. Ressaltou a importância de uma boa analise dos investimentos que o IPMAT possui, de uma </w:t>
      </w:r>
      <w:proofErr w:type="spellStart"/>
      <w:r>
        <w:rPr>
          <w:rFonts w:ascii="Calibri" w:hAnsi="Calibri" w:cs="Calibri"/>
        </w:rPr>
        <w:t>analise</w:t>
      </w:r>
      <w:proofErr w:type="spellEnd"/>
      <w:r>
        <w:rPr>
          <w:rFonts w:ascii="Calibri" w:hAnsi="Calibri" w:cs="Calibri"/>
        </w:rPr>
        <w:t xml:space="preserve"> do mercado nacional e internacional e como identificar os fundos que apresentam boa rentabilidade. Deve-se ter uma atenção a Resolução 3922 e suas alterações, sempre; Lei 9717; Portaria 519/11 e as Notas Técnicas. Ressaltou a importância do credenciamento das Administradoras, Gestoras e dos fundos, devendo ser realizada análise pelo Comitê de Investimentos. Explanou sobre os tipos de fundos, como verificar e analisar os fundos, o que deve ser observado – rentabilidade, liquidez, risco -, contexto histórico, risco x retorno. </w:t>
      </w:r>
      <w:r w:rsidRPr="00D50280">
        <w:rPr>
          <w:rFonts w:ascii="Calibri" w:hAnsi="Calibri" w:cs="Calibri"/>
        </w:rPr>
        <w:t xml:space="preserve">A Diretora Presidente, 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>, pergunto</w:t>
      </w:r>
      <w:r>
        <w:rPr>
          <w:rFonts w:ascii="Calibri" w:hAnsi="Calibri" w:cs="Calibri"/>
        </w:rPr>
        <w:t xml:space="preserve">u se possuíam dúvidas e sem nenhuma e todos os assuntos sanados, </w:t>
      </w:r>
      <w:r w:rsidRPr="00D50280">
        <w:rPr>
          <w:rFonts w:ascii="Calibri" w:hAnsi="Calibri" w:cs="Calibri"/>
        </w:rPr>
        <w:t xml:space="preserve">a reunião foi encerrada pela Diretora Presidente do IPMAT, senhora 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 xml:space="preserve">, determinando que fosse </w:t>
      </w:r>
      <w:r w:rsidRPr="00D50280">
        <w:rPr>
          <w:rFonts w:ascii="Calibri" w:hAnsi="Calibri" w:cs="Calibri"/>
        </w:rPr>
        <w:lastRenderedPageBreak/>
        <w:t xml:space="preserve">lavrada a presente ata e, após lida e aprovada, vai assinada por mim, Michelle Goinski, secretaria ad hoc e pela Diretora Presidente Senhora 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>.</w:t>
      </w:r>
    </w:p>
    <w:p w:rsidR="002D13B0" w:rsidRDefault="002D13B0" w:rsidP="002D13B0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:rsidR="002D13B0" w:rsidRPr="00D50280" w:rsidRDefault="002D13B0" w:rsidP="002D13B0">
      <w:pPr>
        <w:jc w:val="both"/>
        <w:rPr>
          <w:rFonts w:ascii="Calibri" w:hAnsi="Calibri" w:cs="Calibri"/>
        </w:rPr>
      </w:pPr>
      <w:r w:rsidRPr="00D50280">
        <w:rPr>
          <w:rFonts w:ascii="Calibri" w:hAnsi="Calibri" w:cs="Calibri"/>
        </w:rPr>
        <w:t xml:space="preserve">Lista de presença da </w:t>
      </w:r>
      <w:r>
        <w:rPr>
          <w:rFonts w:ascii="Calibri" w:hAnsi="Calibri" w:cs="Calibri"/>
        </w:rPr>
        <w:t>quinta</w:t>
      </w:r>
      <w:r w:rsidRPr="00D50280">
        <w:rPr>
          <w:rFonts w:ascii="Calibri" w:hAnsi="Calibri" w:cs="Calibri"/>
        </w:rPr>
        <w:t xml:space="preserve"> reunião do Conselho Municipal de Administração e Previdência, Conselho Fiscal e Conselh</w:t>
      </w:r>
      <w:r>
        <w:rPr>
          <w:rFonts w:ascii="Calibri" w:hAnsi="Calibri" w:cs="Calibri"/>
        </w:rPr>
        <w:t xml:space="preserve">o Diretor, e Comitê de Investimentos, do </w:t>
      </w:r>
      <w:r w:rsidRPr="00D50280">
        <w:rPr>
          <w:rFonts w:ascii="Calibri" w:hAnsi="Calibri" w:cs="Calibri"/>
        </w:rPr>
        <w:t>exercício de dois mil e dezenove, realizado no dia</w:t>
      </w:r>
      <w:r>
        <w:rPr>
          <w:rFonts w:ascii="Calibri" w:hAnsi="Calibri" w:cs="Calibri"/>
        </w:rPr>
        <w:t xml:space="preserve"> oito </w:t>
      </w:r>
      <w:r w:rsidRPr="00D50280">
        <w:rPr>
          <w:rFonts w:ascii="Calibri" w:hAnsi="Calibri" w:cs="Calibri"/>
        </w:rPr>
        <w:t xml:space="preserve">do mês de </w:t>
      </w:r>
      <w:r>
        <w:rPr>
          <w:rFonts w:ascii="Calibri" w:hAnsi="Calibri" w:cs="Calibri"/>
        </w:rPr>
        <w:t>novembro</w:t>
      </w:r>
      <w:r w:rsidRPr="00D50280">
        <w:rPr>
          <w:rFonts w:ascii="Calibri" w:hAnsi="Calibri" w:cs="Calibri"/>
        </w:rPr>
        <w:t xml:space="preserve"> do corrente ano, </w:t>
      </w:r>
      <w:r>
        <w:rPr>
          <w:rFonts w:ascii="Calibri" w:hAnsi="Calibri" w:cs="Calibri"/>
        </w:rPr>
        <w:t>na sala de reuniões do Paço Municipal</w:t>
      </w:r>
      <w:r w:rsidRPr="00D50280">
        <w:rPr>
          <w:rFonts w:ascii="Calibri" w:hAnsi="Calibri" w:cs="Calibri"/>
        </w:rPr>
        <w:t xml:space="preserve">. O assunto em pauta: Prestação de contas do </w:t>
      </w:r>
      <w:r>
        <w:rPr>
          <w:rFonts w:ascii="Calibri" w:hAnsi="Calibri" w:cs="Calibri"/>
        </w:rPr>
        <w:t>4</w:t>
      </w:r>
      <w:r w:rsidRPr="00D50280">
        <w:rPr>
          <w:rFonts w:ascii="Calibri" w:hAnsi="Calibri" w:cs="Calibri"/>
        </w:rPr>
        <w:t xml:space="preserve">º </w:t>
      </w:r>
      <w:r>
        <w:rPr>
          <w:rFonts w:ascii="Calibri" w:hAnsi="Calibri" w:cs="Calibri"/>
        </w:rPr>
        <w:t xml:space="preserve">e 5º </w:t>
      </w:r>
      <w:r w:rsidRPr="00D50280">
        <w:rPr>
          <w:rFonts w:ascii="Calibri" w:hAnsi="Calibri" w:cs="Calibri"/>
        </w:rPr>
        <w:t xml:space="preserve">bimestre </w:t>
      </w:r>
      <w:r>
        <w:rPr>
          <w:rFonts w:ascii="Calibri" w:hAnsi="Calibri" w:cs="Calibri"/>
        </w:rPr>
        <w:t xml:space="preserve">do exercício de 2019 e </w:t>
      </w:r>
      <w:r w:rsidRPr="00D50280">
        <w:rPr>
          <w:rFonts w:ascii="Calibri" w:hAnsi="Calibri" w:cs="Calibri"/>
        </w:rPr>
        <w:t xml:space="preserve">demais assuntos pertinentes.  </w:t>
      </w:r>
    </w:p>
    <w:p w:rsidR="002D13B0" w:rsidRPr="00D50280" w:rsidRDefault="002D13B0" w:rsidP="002D13B0">
      <w:pPr>
        <w:jc w:val="both"/>
        <w:rPr>
          <w:rFonts w:ascii="Calibri" w:hAnsi="Calibri" w:cs="Calibri"/>
        </w:rPr>
      </w:pPr>
      <w:r w:rsidRPr="00D50280">
        <w:rPr>
          <w:rFonts w:ascii="Calibri" w:hAnsi="Calibri" w:cs="Calibri"/>
        </w:rPr>
        <w:t xml:space="preserve">Amarildo Batista França, </w:t>
      </w:r>
      <w:proofErr w:type="spellStart"/>
      <w:r w:rsidRPr="00D50280">
        <w:rPr>
          <w:rFonts w:ascii="Calibri" w:hAnsi="Calibri" w:cs="Calibri"/>
        </w:rPr>
        <w:t>Atemildo</w:t>
      </w:r>
      <w:proofErr w:type="spellEnd"/>
      <w:r w:rsidRPr="00D50280">
        <w:rPr>
          <w:rFonts w:ascii="Calibri" w:hAnsi="Calibri" w:cs="Calibri"/>
        </w:rPr>
        <w:t xml:space="preserve"> Dias dos Santos, Carlos Roberto </w:t>
      </w:r>
      <w:proofErr w:type="spellStart"/>
      <w:r w:rsidRPr="00D50280">
        <w:rPr>
          <w:rFonts w:ascii="Calibri" w:hAnsi="Calibri" w:cs="Calibri"/>
        </w:rPr>
        <w:t>Zilli</w:t>
      </w:r>
      <w:proofErr w:type="spellEnd"/>
      <w:r w:rsidRPr="00D50280">
        <w:rPr>
          <w:rFonts w:ascii="Calibri" w:hAnsi="Calibri" w:cs="Calibri"/>
        </w:rPr>
        <w:t xml:space="preserve">, </w:t>
      </w:r>
      <w:proofErr w:type="spellStart"/>
      <w:r w:rsidRPr="00D50280">
        <w:rPr>
          <w:rFonts w:ascii="Calibri" w:hAnsi="Calibri" w:cs="Calibri"/>
        </w:rPr>
        <w:t>Claudeci</w:t>
      </w:r>
      <w:proofErr w:type="spellEnd"/>
      <w:r w:rsidRPr="00D50280">
        <w:rPr>
          <w:rFonts w:ascii="Calibri" w:hAnsi="Calibri" w:cs="Calibri"/>
        </w:rPr>
        <w:t xml:space="preserve"> Aparecido Rodrigues, Deise Pereira Santos Carvalho, Anderson </w:t>
      </w:r>
      <w:proofErr w:type="spellStart"/>
      <w:r w:rsidRPr="00D50280">
        <w:rPr>
          <w:rFonts w:ascii="Calibri" w:hAnsi="Calibri" w:cs="Calibri"/>
        </w:rPr>
        <w:t>Wiens</w:t>
      </w:r>
      <w:proofErr w:type="spellEnd"/>
      <w:r w:rsidRPr="00D50280">
        <w:rPr>
          <w:rFonts w:ascii="Calibri" w:hAnsi="Calibri" w:cs="Calibri"/>
        </w:rPr>
        <w:t xml:space="preserve">, Ernesto Antônio Rossi, Fabio Augusto da Silva, Francisco de Assis de Almeida Pereira, José Carlos </w:t>
      </w:r>
      <w:proofErr w:type="spellStart"/>
      <w:r w:rsidRPr="00D50280">
        <w:rPr>
          <w:rFonts w:ascii="Calibri" w:hAnsi="Calibri" w:cs="Calibri"/>
        </w:rPr>
        <w:t>Cesario</w:t>
      </w:r>
      <w:proofErr w:type="spellEnd"/>
      <w:r w:rsidRPr="00D50280">
        <w:rPr>
          <w:rFonts w:ascii="Calibri" w:hAnsi="Calibri" w:cs="Calibri"/>
        </w:rPr>
        <w:t xml:space="preserve"> Pereira, </w:t>
      </w:r>
      <w:proofErr w:type="spellStart"/>
      <w:r w:rsidRPr="00D50280">
        <w:rPr>
          <w:rFonts w:ascii="Calibri" w:hAnsi="Calibri" w:cs="Calibri"/>
        </w:rPr>
        <w:t>Lucimari</w:t>
      </w:r>
      <w:proofErr w:type="spellEnd"/>
      <w:r w:rsidRPr="00D50280">
        <w:rPr>
          <w:rFonts w:ascii="Calibri" w:hAnsi="Calibri" w:cs="Calibri"/>
        </w:rPr>
        <w:t xml:space="preserve"> da Luz </w:t>
      </w:r>
      <w:proofErr w:type="spellStart"/>
      <w:r w:rsidRPr="00D50280">
        <w:rPr>
          <w:rFonts w:ascii="Calibri" w:hAnsi="Calibri" w:cs="Calibri"/>
        </w:rPr>
        <w:t>Perussi</w:t>
      </w:r>
      <w:proofErr w:type="spellEnd"/>
      <w:r w:rsidRPr="00D50280">
        <w:rPr>
          <w:rFonts w:ascii="Calibri" w:hAnsi="Calibri" w:cs="Calibri"/>
        </w:rPr>
        <w:t xml:space="preserve"> </w:t>
      </w:r>
      <w:proofErr w:type="spellStart"/>
      <w:r w:rsidRPr="00D50280">
        <w:rPr>
          <w:rFonts w:ascii="Calibri" w:hAnsi="Calibri" w:cs="Calibri"/>
        </w:rPr>
        <w:t>Nicolotte</w:t>
      </w:r>
      <w:proofErr w:type="spellEnd"/>
      <w:r w:rsidRPr="00D50280">
        <w:rPr>
          <w:rFonts w:ascii="Calibri" w:hAnsi="Calibri" w:cs="Calibri"/>
        </w:rPr>
        <w:t xml:space="preserve">, Luiz Carlos Teixeira da Luz, Mari Lucia </w:t>
      </w:r>
      <w:proofErr w:type="spellStart"/>
      <w:r w:rsidRPr="00D50280">
        <w:rPr>
          <w:rFonts w:ascii="Calibri" w:hAnsi="Calibri" w:cs="Calibri"/>
        </w:rPr>
        <w:t>Perussi</w:t>
      </w:r>
      <w:proofErr w:type="spellEnd"/>
      <w:r w:rsidRPr="00D50280">
        <w:rPr>
          <w:rFonts w:ascii="Calibri" w:hAnsi="Calibri" w:cs="Calibri"/>
        </w:rPr>
        <w:t xml:space="preserve">, Maria Inês </w:t>
      </w:r>
      <w:proofErr w:type="spellStart"/>
      <w:r w:rsidRPr="00D50280">
        <w:rPr>
          <w:rFonts w:ascii="Calibri" w:hAnsi="Calibri" w:cs="Calibri"/>
        </w:rPr>
        <w:t>Tomacheski</w:t>
      </w:r>
      <w:proofErr w:type="spellEnd"/>
      <w:r w:rsidRPr="00D5028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Mario Roberto Gurgel, </w:t>
      </w:r>
      <w:r w:rsidRPr="00D50280">
        <w:rPr>
          <w:rFonts w:ascii="Calibri" w:hAnsi="Calibri" w:cs="Calibri"/>
        </w:rPr>
        <w:t xml:space="preserve">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 xml:space="preserve">, Michelle Goinski, </w:t>
      </w:r>
      <w:r>
        <w:rPr>
          <w:rFonts w:ascii="Calibri" w:hAnsi="Calibri" w:cs="Calibri"/>
        </w:rPr>
        <w:t xml:space="preserve">Sandra Maria </w:t>
      </w:r>
      <w:proofErr w:type="spellStart"/>
      <w:r>
        <w:rPr>
          <w:rFonts w:ascii="Calibri" w:hAnsi="Calibri" w:cs="Calibri"/>
        </w:rPr>
        <w:t>Cumim</w:t>
      </w:r>
      <w:proofErr w:type="spellEnd"/>
      <w:r>
        <w:rPr>
          <w:rFonts w:ascii="Calibri" w:hAnsi="Calibri" w:cs="Calibri"/>
        </w:rPr>
        <w:t xml:space="preserve"> Ferro, </w:t>
      </w:r>
      <w:r w:rsidRPr="00D50280">
        <w:rPr>
          <w:rFonts w:ascii="Calibri" w:hAnsi="Calibri" w:cs="Calibri"/>
        </w:rPr>
        <w:t xml:space="preserve">Paulo Cesar dos Santos Cardoso, Vanderlei José </w:t>
      </w:r>
      <w:proofErr w:type="spellStart"/>
      <w:r w:rsidRPr="00D50280">
        <w:rPr>
          <w:rFonts w:ascii="Calibri" w:hAnsi="Calibri" w:cs="Calibri"/>
        </w:rPr>
        <w:t>Giaretta</w:t>
      </w:r>
      <w:proofErr w:type="spellEnd"/>
      <w:r w:rsidRPr="00D50280">
        <w:rPr>
          <w:rFonts w:ascii="Calibri" w:hAnsi="Calibri" w:cs="Calibri"/>
        </w:rPr>
        <w:t>.</w:t>
      </w:r>
    </w:p>
    <w:p w:rsidR="002D13B0" w:rsidRDefault="002D13B0" w:rsidP="002D13B0">
      <w:pPr>
        <w:jc w:val="both"/>
        <w:rPr>
          <w:rFonts w:ascii="Calibri" w:hAnsi="Calibri" w:cs="Calibri"/>
        </w:rPr>
      </w:pPr>
      <w:r w:rsidRPr="00D50280">
        <w:rPr>
          <w:rFonts w:ascii="Calibri" w:hAnsi="Calibri" w:cs="Calibri"/>
        </w:rPr>
        <w:t xml:space="preserve">Ata da </w:t>
      </w:r>
      <w:r>
        <w:rPr>
          <w:rFonts w:ascii="Calibri" w:hAnsi="Calibri" w:cs="Calibri"/>
        </w:rPr>
        <w:t>quinta</w:t>
      </w:r>
      <w:r w:rsidRPr="00D50280">
        <w:rPr>
          <w:rFonts w:ascii="Calibri" w:hAnsi="Calibri" w:cs="Calibri"/>
        </w:rPr>
        <w:t xml:space="preserve"> reunião do Conselho Municipal de Administração e Previdência, Conselho Fiscal e Conselho Diretor do IPMAT</w:t>
      </w:r>
      <w:r>
        <w:rPr>
          <w:rFonts w:ascii="Calibri" w:hAnsi="Calibri" w:cs="Calibri"/>
        </w:rPr>
        <w:t xml:space="preserve"> juntamente com o Comitê de Investimentos</w:t>
      </w:r>
      <w:r w:rsidRPr="00D5028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no dia oito</w:t>
      </w:r>
      <w:r w:rsidRPr="00D50280">
        <w:rPr>
          <w:rFonts w:ascii="Calibri" w:hAnsi="Calibri" w:cs="Calibri"/>
        </w:rPr>
        <w:t xml:space="preserve"> do mês de </w:t>
      </w:r>
      <w:r>
        <w:rPr>
          <w:rFonts w:ascii="Calibri" w:hAnsi="Calibri" w:cs="Calibri"/>
        </w:rPr>
        <w:t>novembro</w:t>
      </w:r>
      <w:r w:rsidRPr="00D50280">
        <w:rPr>
          <w:rFonts w:ascii="Calibri" w:hAnsi="Calibri" w:cs="Calibri"/>
        </w:rPr>
        <w:t xml:space="preserve"> do ano de dois mil e dezenove, às </w:t>
      </w:r>
      <w:r>
        <w:rPr>
          <w:rFonts w:ascii="Calibri" w:hAnsi="Calibri" w:cs="Calibri"/>
        </w:rPr>
        <w:t>nove</w:t>
      </w:r>
      <w:r w:rsidRPr="00D50280">
        <w:rPr>
          <w:rFonts w:ascii="Calibri" w:hAnsi="Calibri" w:cs="Calibri"/>
        </w:rPr>
        <w:t xml:space="preserve"> horas, </w:t>
      </w:r>
      <w:r>
        <w:rPr>
          <w:rFonts w:ascii="Calibri" w:hAnsi="Calibri" w:cs="Calibri"/>
        </w:rPr>
        <w:t>na sala de reuniões do Paço Municipal</w:t>
      </w:r>
      <w:r w:rsidRPr="00D50280">
        <w:rPr>
          <w:rFonts w:ascii="Calibri" w:hAnsi="Calibri" w:cs="Calibri"/>
        </w:rPr>
        <w:t xml:space="preserve">, sito à </w:t>
      </w:r>
      <w:r>
        <w:rPr>
          <w:rFonts w:ascii="Calibri" w:hAnsi="Calibri" w:cs="Calibri"/>
        </w:rPr>
        <w:t>Avenida Emilio Johnson, 360</w:t>
      </w:r>
      <w:r w:rsidRPr="00D50280">
        <w:rPr>
          <w:rFonts w:ascii="Calibri" w:hAnsi="Calibri" w:cs="Calibri"/>
        </w:rPr>
        <w:t xml:space="preserve">, Vila Santa Terezinha, Almirante Tamandaré, Paraná. A Senhora Diretora Presidente, 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>, abriu a reunião explanando os assunto</w:t>
      </w:r>
      <w:r>
        <w:rPr>
          <w:rFonts w:ascii="Calibri" w:hAnsi="Calibri" w:cs="Calibri"/>
        </w:rPr>
        <w:t xml:space="preserve">s em pauta. O </w:t>
      </w:r>
      <w:proofErr w:type="spellStart"/>
      <w:r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 xml:space="preserve"> contador do Instituto, Anderson </w:t>
      </w:r>
      <w:proofErr w:type="spellStart"/>
      <w:r>
        <w:rPr>
          <w:rFonts w:ascii="Calibri" w:hAnsi="Calibri" w:cs="Calibri"/>
        </w:rPr>
        <w:t>Wiens</w:t>
      </w:r>
      <w:proofErr w:type="spellEnd"/>
      <w:r>
        <w:rPr>
          <w:rFonts w:ascii="Calibri" w:hAnsi="Calibri" w:cs="Calibri"/>
        </w:rPr>
        <w:t>, iniciou-se demonstrando as receitas arrecadadas no quarto bimestre. Arrecadamos um montante de R$ 4.827.790,12 (quatro milhões oitocentos e vinte e sete mil setecentos e noventa reais e doze centavos</w:t>
      </w:r>
      <w:r w:rsidRPr="00253A13">
        <w:rPr>
          <w:rFonts w:ascii="Calibri" w:hAnsi="Calibri" w:cs="Calibri"/>
        </w:rPr>
        <w:t>) que</w:t>
      </w:r>
      <w:r>
        <w:rPr>
          <w:rFonts w:ascii="Calibri" w:hAnsi="Calibri" w:cs="Calibri"/>
        </w:rPr>
        <w:t xml:space="preserve"> incluem Cota Patronal – R$ 10.206,68 (dez mil duzentos e seis reais e sessenta e oito centavos), Cota Servidor – R$ 735.043,14 (setecentos e trinta e cinco mil quarenta e três reais e quatorze centavos), Taxa Administrativa – R$ 65.904,32 (sessenta e cinco mil novecentos e quatro reais e trinta e dois centavos), Parcelamentos – R$ 1.026.648,08 (um milhão vinte e seis mil seiscentos e quarenta e oito reais e oito centavos), Aportes – R$ 435.555,56 (quatrocentos e trinta e cinco mil quinhentos e cinquenta e cinco reais e cinquenta e seis centavos), Compensação Previdenciária – R$ 91.124,74 (noventa e um mil cento e vinte e quatro reais e setenta e quatro centavos) e Rendimento de aplicações financeiras – R$ 2.462.729,24 (dois milhões quatrocentos e sessenta e dois mil setecentos e vinte e nove reais e vinte e quatro centavos). Referente as despesas administrativas, despendemos um montante de R$ 106.473,82 (cento e seis mil quatrocentos e setenta e três reais e noventa e dois centavos), tendo um déficit de R$ 40.568,50 (quarenta mil quinhentos e sessenta e oito reais e cinquenta centavos) do valor mensal repassado, que </w:t>
      </w:r>
      <w:proofErr w:type="spellStart"/>
      <w:r>
        <w:rPr>
          <w:rFonts w:ascii="Calibri" w:hAnsi="Calibri" w:cs="Calibri"/>
        </w:rPr>
        <w:t>esta</w:t>
      </w:r>
      <w:proofErr w:type="spellEnd"/>
      <w:r>
        <w:rPr>
          <w:rFonts w:ascii="Calibri" w:hAnsi="Calibri" w:cs="Calibri"/>
        </w:rPr>
        <w:t xml:space="preserve"> sendo sanado com reserva administrativa que o IPMAT conservou durante os anos passados, como ressaltou a diretora Presidente. A folha de aposentados e pensionistas totalizou um montante de R$ 2.472.225,41 (dois milhões quatrocentos e setenta e dois mil duzentos e vinte e cinco reais e quarenta e um centavos), sendo R$ 2.130.814,54 (dois milhões cento e trinta mil oitocentos e quatorze reais e cinquenta e quatro centavos) para aposentados, R$ 332.729,74 (trezentos e trinta e dois mil setecentos e vinte e nove reais e setenta e quatro centavos) para pensionistas e despesas com tarifas bancárias totalizaram R$ 2.620,06 (dois mil seiscentos e vinte reais e seis centavos). Hoje são 552 aposentados e 118 pensionistas. Temos um déficit de R$ 264.771,95 (duzentos e sessenta e quatro mil setecentos e setenta e um reais e noventa e cinco centavos) do regime de caixa, referente ao valor arrecadado de recursos previdenciários e os gastos com os mesmos.  O </w:t>
      </w:r>
      <w:proofErr w:type="spellStart"/>
      <w:r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 xml:space="preserve"> Luiz Carlos ressaltou a importância da boa gestão dos recursos através dos fundos, ressaltando o que é regime de caixa. O </w:t>
      </w:r>
      <w:proofErr w:type="spellStart"/>
      <w:r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Atemildo</w:t>
      </w:r>
      <w:proofErr w:type="spellEnd"/>
      <w:r>
        <w:rPr>
          <w:rFonts w:ascii="Calibri" w:hAnsi="Calibri" w:cs="Calibri"/>
        </w:rPr>
        <w:t xml:space="preserve"> perguntou sobre o déficit de quarenta mil e a </w:t>
      </w:r>
      <w:proofErr w:type="spellStart"/>
      <w:r>
        <w:rPr>
          <w:rFonts w:ascii="Calibri" w:hAnsi="Calibri" w:cs="Calibri"/>
        </w:rPr>
        <w:t>Srª</w:t>
      </w:r>
      <w:proofErr w:type="spellEnd"/>
      <w:r>
        <w:rPr>
          <w:rFonts w:ascii="Calibri" w:hAnsi="Calibri" w:cs="Calibri"/>
        </w:rPr>
        <w:t xml:space="preserve"> Silvana explicou que este valor é sobre a taxa de administração e não previdenciário e que, como o IPMAT conseguiu formar uma reserva de recebimentos anteriores, não é necessário cobrar uma taxa de administração maior da prefeitura enquanto temos esta reserva. O </w:t>
      </w:r>
      <w:proofErr w:type="spellStart"/>
      <w:r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 xml:space="preserve"> Luiz Carlos explicou de maneira mais simples. Como se o Instituto tivesse uma poupança que </w:t>
      </w:r>
      <w:proofErr w:type="spellStart"/>
      <w:r>
        <w:rPr>
          <w:rFonts w:ascii="Calibri" w:hAnsi="Calibri" w:cs="Calibri"/>
        </w:rPr>
        <w:t>esta</w:t>
      </w:r>
      <w:proofErr w:type="spellEnd"/>
      <w:r>
        <w:rPr>
          <w:rFonts w:ascii="Calibri" w:hAnsi="Calibri" w:cs="Calibri"/>
        </w:rPr>
        <w:t xml:space="preserve"> cobrindo os déficits atuais. A </w:t>
      </w:r>
      <w:proofErr w:type="spellStart"/>
      <w:r>
        <w:rPr>
          <w:rFonts w:ascii="Calibri" w:hAnsi="Calibri" w:cs="Calibri"/>
        </w:rPr>
        <w:t>Srª</w:t>
      </w:r>
      <w:proofErr w:type="spellEnd"/>
      <w:r>
        <w:rPr>
          <w:rFonts w:ascii="Calibri" w:hAnsi="Calibri" w:cs="Calibri"/>
        </w:rPr>
        <w:t xml:space="preserve"> Silvana concluiu que a </w:t>
      </w:r>
      <w:r>
        <w:rPr>
          <w:rFonts w:ascii="Calibri" w:hAnsi="Calibri" w:cs="Calibri"/>
        </w:rPr>
        <w:lastRenderedPageBreak/>
        <w:t xml:space="preserve">taxa de administração é a prefeitura que transfere para o Instituto, e como anteriormente a taxa de administração era maior e o IPMAT não custeava a folha dos servidores, assim, acabamos por ter essa reserva financeira. Nesse bimestre tivemos um aumento de quatorze benefícios. Atualmente o crescimento é considerável. A </w:t>
      </w:r>
      <w:proofErr w:type="spellStart"/>
      <w:r>
        <w:rPr>
          <w:rFonts w:ascii="Calibri" w:hAnsi="Calibri" w:cs="Calibri"/>
        </w:rPr>
        <w:t>Srª</w:t>
      </w:r>
      <w:proofErr w:type="spellEnd"/>
      <w:r>
        <w:rPr>
          <w:rFonts w:ascii="Calibri" w:hAnsi="Calibri" w:cs="Calibri"/>
        </w:rPr>
        <w:t xml:space="preserve"> Silvana ressaltou que nos meses de novembro e dezembro não estamos concedendo a aposentadoria para professor para que não prejudique os alunos nessa reta final e, também, temos prazo legal de 90 (noventa) dias para finalização do processo. O </w:t>
      </w:r>
      <w:proofErr w:type="spellStart"/>
      <w:r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Atemildo</w:t>
      </w:r>
      <w:proofErr w:type="spellEnd"/>
      <w:r>
        <w:rPr>
          <w:rFonts w:ascii="Calibri" w:hAnsi="Calibri" w:cs="Calibri"/>
        </w:rPr>
        <w:t xml:space="preserve">, que exerce funções em escola, nos informou que muitas pessoas da área do magistério e que são funcionários da Prefeitura, estão procurando o INSS para requerer suas aposentadorias, querendo utilizar o tempo do RPPS. A </w:t>
      </w:r>
      <w:proofErr w:type="spellStart"/>
      <w:r>
        <w:rPr>
          <w:rFonts w:ascii="Calibri" w:hAnsi="Calibri" w:cs="Calibri"/>
        </w:rPr>
        <w:t>Srª</w:t>
      </w:r>
      <w:proofErr w:type="spellEnd"/>
      <w:r>
        <w:rPr>
          <w:rFonts w:ascii="Calibri" w:hAnsi="Calibri" w:cs="Calibri"/>
        </w:rPr>
        <w:t xml:space="preserve"> Silvana explicou que esse procedimento é errado. Quem é funcionário efetivo da Prefeitura deve aposentar-se através do IPMAT. Se insistir em utilizar o tempo de Prefeitura para o INSS pode responder processo criminal. O </w:t>
      </w:r>
      <w:proofErr w:type="spellStart"/>
      <w:r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 xml:space="preserve"> Luiz ressaltou a importância de repassar a todos os funcionários ativos que possuem tempo do Regime Geral ou de outro Regime Próprio para que solicitem a Certidão de Tempo de Contribuição para trazer ao IPMAT e contar para sua aposentadoria aqui. Também ressaltou que há muitos advogados que não entendem das regras do Regime Próprio e acabam informando incorretamente as pessoas. O </w:t>
      </w:r>
      <w:proofErr w:type="spellStart"/>
      <w:r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 xml:space="preserve"> Anderson </w:t>
      </w:r>
      <w:proofErr w:type="spellStart"/>
      <w:r>
        <w:rPr>
          <w:rFonts w:ascii="Calibri" w:hAnsi="Calibri" w:cs="Calibri"/>
        </w:rPr>
        <w:t>Wiens</w:t>
      </w:r>
      <w:proofErr w:type="spellEnd"/>
      <w:r>
        <w:rPr>
          <w:rFonts w:ascii="Calibri" w:hAnsi="Calibri" w:cs="Calibri"/>
        </w:rPr>
        <w:t xml:space="preserve"> iniciou a prestação de contas do quinto bimestre apresentando as receitas arrecadadas no quinto bimestre. Arrecadamos um montante de R$ 10.525.741,13 (dez milhões quinhentos e vinte e cinco mil setecentos e quarenta e um reais e treze centavos</w:t>
      </w:r>
      <w:r w:rsidRPr="00253A13">
        <w:rPr>
          <w:rFonts w:ascii="Calibri" w:hAnsi="Calibri" w:cs="Calibri"/>
        </w:rPr>
        <w:t>) que</w:t>
      </w:r>
      <w:r>
        <w:rPr>
          <w:rFonts w:ascii="Calibri" w:hAnsi="Calibri" w:cs="Calibri"/>
        </w:rPr>
        <w:t xml:space="preserve"> incluem Cota Patronal – R$ 11.009,64 (onze mil nove reais e sessenta e quatro centavos), Cota Servidor – R$ 728.347,81 (setecentos e vinte e oito mil trezentos e quarenta e sete reais e oitenta e um centavos), Taxa Administrativa – R$ 65.289,20 (sessenta e cinco mil duzentos e oitenta e nove reais e vinte centavos), Parcelamentos – R$ 1.130.474,11 (um milhão cento e trinta mil quatrocentos e setenta e quatro reais e onze centavos), Aportes – R$ 435.555,56 (quatrocentos e trinta e cinco mil quinhentos e cinquenta e cinco reais e cinquenta e seis centavos), Compensação Previdenciária – R$ 91.124,74 (noventa e um mil cento e vinte e quatro reais e setenta e quatro centavos) e Rendimento de aplicações financeiras – R$ 8.063.361,71 (oito milhões sessenta e três mil trezentos e sessenta e um reais e setenta e um centavos). Referente as despesas administrativas, despendemos um montante de R$ 120.423,00 (cento e vinte mil quatrocentos e vinte e três reais), tendo um déficit de R$ 55.133,80 (cinquenta e </w:t>
      </w:r>
      <w:proofErr w:type="gramStart"/>
      <w:r>
        <w:rPr>
          <w:rFonts w:ascii="Calibri" w:hAnsi="Calibri" w:cs="Calibri"/>
        </w:rPr>
        <w:t>cinco mil cento</w:t>
      </w:r>
      <w:proofErr w:type="gramEnd"/>
      <w:r>
        <w:rPr>
          <w:rFonts w:ascii="Calibri" w:hAnsi="Calibri" w:cs="Calibri"/>
        </w:rPr>
        <w:t xml:space="preserve"> e trinta e três reais e oitenta centavos), que </w:t>
      </w:r>
      <w:proofErr w:type="spellStart"/>
      <w:r>
        <w:rPr>
          <w:rFonts w:ascii="Calibri" w:hAnsi="Calibri" w:cs="Calibri"/>
        </w:rPr>
        <w:t>esta</w:t>
      </w:r>
      <w:proofErr w:type="spellEnd"/>
      <w:r>
        <w:rPr>
          <w:rFonts w:ascii="Calibri" w:hAnsi="Calibri" w:cs="Calibri"/>
        </w:rPr>
        <w:t xml:space="preserve"> sendo sanado com reserva administrativa que o IPMAT conservou durante os anos passados. A folha de aposentados e pensionistas totalizou um montante de R$ 2.561.715,58 (dois milhões quinhentos e sessenta e um mil setecentos e quinze reais e cinquenta e oito centavos), sendo R$ 2.240.533,98 (dois milhões duzentos e quarenta mil quinhentos e trinta e três reais e noventa e oito centavos) para aposentados, R$ 329.357,81 (trezentos e vinte e nove mil trezentos e cinquenta e sete reais e oitenta e um centavos) para pensionistas e despesas com tarifas bancárias totalizaram R$ 2.536,06 (dois mil quinhentos e trinta e seis reais e seis centavos). Hoje são 565 aposentados e 120 pensionistas. Temos um déficit de R$ 255.750,10 (duzentos e cinquenta e cinco mil setecentos e cinquenta reais e dez centavos), referente ao valor arrecadado de recursos previdenciários e os gastos com os mesmos.  A </w:t>
      </w:r>
      <w:proofErr w:type="spellStart"/>
      <w:r>
        <w:rPr>
          <w:rFonts w:ascii="Calibri" w:hAnsi="Calibri" w:cs="Calibri"/>
        </w:rPr>
        <w:t>Srª</w:t>
      </w:r>
      <w:proofErr w:type="spellEnd"/>
      <w:r>
        <w:rPr>
          <w:rFonts w:ascii="Calibri" w:hAnsi="Calibri" w:cs="Calibri"/>
        </w:rPr>
        <w:t xml:space="preserve"> Sandra perguntou </w:t>
      </w:r>
      <w:proofErr w:type="spellStart"/>
      <w:r>
        <w:rPr>
          <w:rFonts w:ascii="Calibri" w:hAnsi="Calibri" w:cs="Calibri"/>
        </w:rPr>
        <w:t>porque</w:t>
      </w:r>
      <w:proofErr w:type="spellEnd"/>
      <w:r>
        <w:rPr>
          <w:rFonts w:ascii="Calibri" w:hAnsi="Calibri" w:cs="Calibri"/>
        </w:rPr>
        <w:t xml:space="preserve"> da diferença tão grande um bimestre para outro. A </w:t>
      </w:r>
      <w:proofErr w:type="spellStart"/>
      <w:r>
        <w:rPr>
          <w:rFonts w:ascii="Calibri" w:hAnsi="Calibri" w:cs="Calibri"/>
        </w:rPr>
        <w:t>Srª</w:t>
      </w:r>
      <w:proofErr w:type="spellEnd"/>
      <w:r>
        <w:rPr>
          <w:rFonts w:ascii="Calibri" w:hAnsi="Calibri" w:cs="Calibri"/>
        </w:rPr>
        <w:t xml:space="preserve"> Silvana informou que é por causa das aplicações financeiras que tiveram um bom investimento. O </w:t>
      </w:r>
      <w:proofErr w:type="spellStart"/>
      <w:r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 xml:space="preserve"> Luiz citou a alta da bolsa e o </w:t>
      </w:r>
      <w:proofErr w:type="spellStart"/>
      <w:r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Atemildo</w:t>
      </w:r>
      <w:proofErr w:type="spellEnd"/>
      <w:r>
        <w:rPr>
          <w:rFonts w:ascii="Calibri" w:hAnsi="Calibri" w:cs="Calibri"/>
        </w:rPr>
        <w:t xml:space="preserve"> ressaltou que é ótimo ver os números aumentando. Referente aos investimentos, temos um total da carteira de 8,55% no Bando </w:t>
      </w:r>
      <w:proofErr w:type="spellStart"/>
      <w:r>
        <w:rPr>
          <w:rFonts w:ascii="Calibri" w:hAnsi="Calibri" w:cs="Calibri"/>
        </w:rPr>
        <w:t>Itau</w:t>
      </w:r>
      <w:proofErr w:type="spellEnd"/>
      <w:r>
        <w:rPr>
          <w:rFonts w:ascii="Calibri" w:hAnsi="Calibri" w:cs="Calibri"/>
        </w:rPr>
        <w:t xml:space="preserve"> (sendo 78,82% em renda variável e 21,18% em renda fixa) aplicados em três fundos; no Banco do Brasil temos um total de 7,6% da carteira (sendo 17,91% em renda variável e 82,09% em renda fixa) aplicados em 09 fundos; na Caixa Econômica Federal temos um total de 83,85% da carteira (sendo 14,56% em renda variável e 82,45% em renda fixa) aplicados em 16 fundos e três contas. Optou-se por uma carteira diversificada para não impactar de forma negativa se por acaso algum dos fundos ficar com rentabilidade negativa. Apesar da diversificação, a concentração é nos fundos de renda fixa (80,13% da carteira). Ressaltou que até o mês de outubro, batemos em 130% a meta definida. Referente aos parcelamentos, hoje a Prefeitura mantém com o IPMAT um total de dez </w:t>
      </w:r>
      <w:r>
        <w:rPr>
          <w:rFonts w:ascii="Calibri" w:hAnsi="Calibri" w:cs="Calibri"/>
        </w:rPr>
        <w:lastRenderedPageBreak/>
        <w:t xml:space="preserve">parcelamentos, que estão sendo pagos em dia. E temos em aberto a cota patronal dos meses de julho, agosto, setembro e outubro em aberto. A </w:t>
      </w:r>
      <w:proofErr w:type="spellStart"/>
      <w:r>
        <w:rPr>
          <w:rFonts w:ascii="Calibri" w:hAnsi="Calibri" w:cs="Calibri"/>
        </w:rPr>
        <w:t>Srª</w:t>
      </w:r>
      <w:proofErr w:type="spellEnd"/>
      <w:r>
        <w:rPr>
          <w:rFonts w:ascii="Calibri" w:hAnsi="Calibri" w:cs="Calibri"/>
        </w:rPr>
        <w:t xml:space="preserve"> Silvana lembrou que a Lei aprovada anteriormente já prevê parcelamentos futuros; nesta Lei prevê até dezembro deste ano incluindo a parcela de décimo terceiro. O </w:t>
      </w:r>
      <w:proofErr w:type="spellStart"/>
      <w:r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 xml:space="preserve"> Luiz ressaltou que para o Instituto o parcelamento é bom, devido aos juros que recebe. A </w:t>
      </w:r>
      <w:proofErr w:type="spellStart"/>
      <w:r>
        <w:rPr>
          <w:rFonts w:ascii="Calibri" w:hAnsi="Calibri" w:cs="Calibri"/>
        </w:rPr>
        <w:t>Srª</w:t>
      </w:r>
      <w:proofErr w:type="spellEnd"/>
      <w:r>
        <w:rPr>
          <w:rFonts w:ascii="Calibri" w:hAnsi="Calibri" w:cs="Calibri"/>
        </w:rPr>
        <w:t xml:space="preserve"> Silvana ressaltou que é calculado pelo IPCA mais juros para definição do valor do parcelamento. Também que o Instituto tem a garantia através do FPM, onde, se a prefeitura não pagar o parcelamento, o IPMAT recebe automaticamente do FPM. A </w:t>
      </w:r>
      <w:proofErr w:type="spellStart"/>
      <w:r>
        <w:rPr>
          <w:rFonts w:ascii="Calibri" w:hAnsi="Calibri" w:cs="Calibri"/>
        </w:rPr>
        <w:t>Srª</w:t>
      </w:r>
      <w:proofErr w:type="spellEnd"/>
      <w:r>
        <w:rPr>
          <w:rFonts w:ascii="Calibri" w:hAnsi="Calibri" w:cs="Calibri"/>
        </w:rPr>
        <w:t xml:space="preserve"> Silvana ressaltou, que de acordo com a PEC da Nova Previdência que </w:t>
      </w:r>
      <w:proofErr w:type="spellStart"/>
      <w:r>
        <w:rPr>
          <w:rFonts w:ascii="Calibri" w:hAnsi="Calibri" w:cs="Calibri"/>
        </w:rPr>
        <w:t>esta</w:t>
      </w:r>
      <w:proofErr w:type="spellEnd"/>
      <w:r>
        <w:rPr>
          <w:rFonts w:ascii="Calibri" w:hAnsi="Calibri" w:cs="Calibri"/>
        </w:rPr>
        <w:t xml:space="preserve"> para ser aprovada, os parcelamentos estão limitados a pagamento em no máximo 60 meses e sem possibilidade de repactuação. Assim, o </w:t>
      </w:r>
      <w:proofErr w:type="spellStart"/>
      <w:r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 xml:space="preserve"> Anderson </w:t>
      </w:r>
      <w:proofErr w:type="spellStart"/>
      <w:r>
        <w:rPr>
          <w:rFonts w:ascii="Calibri" w:hAnsi="Calibri" w:cs="Calibri"/>
        </w:rPr>
        <w:t>Wiens</w:t>
      </w:r>
      <w:proofErr w:type="spellEnd"/>
      <w:r>
        <w:rPr>
          <w:rFonts w:ascii="Calibri" w:hAnsi="Calibri" w:cs="Calibri"/>
        </w:rPr>
        <w:t xml:space="preserve"> finalizou a prestação de contas. A </w:t>
      </w:r>
      <w:proofErr w:type="spellStart"/>
      <w:r>
        <w:rPr>
          <w:rFonts w:ascii="Calibri" w:hAnsi="Calibri" w:cs="Calibri"/>
        </w:rPr>
        <w:t>Srª</w:t>
      </w:r>
      <w:proofErr w:type="spellEnd"/>
      <w:r>
        <w:rPr>
          <w:rFonts w:ascii="Calibri" w:hAnsi="Calibri" w:cs="Calibri"/>
        </w:rPr>
        <w:t xml:space="preserve"> Maria Silvana </w:t>
      </w:r>
      <w:proofErr w:type="spellStart"/>
      <w:r>
        <w:rPr>
          <w:rFonts w:ascii="Calibri" w:hAnsi="Calibri" w:cs="Calibri"/>
        </w:rPr>
        <w:t>Buzato</w:t>
      </w:r>
      <w:proofErr w:type="spellEnd"/>
      <w:r>
        <w:rPr>
          <w:rFonts w:ascii="Calibri" w:hAnsi="Calibri" w:cs="Calibri"/>
        </w:rPr>
        <w:t xml:space="preserve">, perguntou se todos os presentes aprovavam a devida prestação de contas, sendo que todos aprovaram. A </w:t>
      </w:r>
      <w:proofErr w:type="spellStart"/>
      <w:r>
        <w:rPr>
          <w:rFonts w:ascii="Calibri" w:hAnsi="Calibri" w:cs="Calibri"/>
        </w:rPr>
        <w:t>Srª</w:t>
      </w:r>
      <w:proofErr w:type="spellEnd"/>
      <w:r>
        <w:rPr>
          <w:rFonts w:ascii="Calibri" w:hAnsi="Calibri" w:cs="Calibri"/>
        </w:rPr>
        <w:t xml:space="preserve"> Deise parabenizou o Instituto pela boa gestão. A </w:t>
      </w:r>
      <w:proofErr w:type="spellStart"/>
      <w:r>
        <w:rPr>
          <w:rFonts w:ascii="Calibri" w:hAnsi="Calibri" w:cs="Calibri"/>
        </w:rPr>
        <w:t>Srª</w:t>
      </w:r>
      <w:proofErr w:type="spellEnd"/>
      <w:r>
        <w:rPr>
          <w:rFonts w:ascii="Calibri" w:hAnsi="Calibri" w:cs="Calibri"/>
        </w:rPr>
        <w:t xml:space="preserve"> Silvana continuou a reunião informando que a PEC 006 </w:t>
      </w:r>
      <w:proofErr w:type="spellStart"/>
      <w:r>
        <w:rPr>
          <w:rFonts w:ascii="Calibri" w:hAnsi="Calibri" w:cs="Calibri"/>
        </w:rPr>
        <w:t>esta</w:t>
      </w:r>
      <w:proofErr w:type="spellEnd"/>
      <w:r>
        <w:rPr>
          <w:rFonts w:ascii="Calibri" w:hAnsi="Calibri" w:cs="Calibri"/>
        </w:rPr>
        <w:t xml:space="preserve"> trazendo muitos assuntos novos e diferentes do que possuímos até agora e percebemos que a Lei que o IPMAT possuí hoje </w:t>
      </w:r>
      <w:proofErr w:type="spellStart"/>
      <w:r>
        <w:rPr>
          <w:rFonts w:ascii="Calibri" w:hAnsi="Calibri" w:cs="Calibri"/>
        </w:rPr>
        <w:t>esta</w:t>
      </w:r>
      <w:proofErr w:type="spellEnd"/>
      <w:r>
        <w:rPr>
          <w:rFonts w:ascii="Calibri" w:hAnsi="Calibri" w:cs="Calibri"/>
        </w:rPr>
        <w:t xml:space="preserve"> muito desatualizada e precisamos revê-la urgentemente em sua totalidade. Assim, a </w:t>
      </w:r>
      <w:proofErr w:type="spellStart"/>
      <w:r>
        <w:rPr>
          <w:rFonts w:ascii="Calibri" w:hAnsi="Calibri" w:cs="Calibri"/>
        </w:rPr>
        <w:t>Srª</w:t>
      </w:r>
      <w:proofErr w:type="spellEnd"/>
      <w:r>
        <w:rPr>
          <w:rFonts w:ascii="Calibri" w:hAnsi="Calibri" w:cs="Calibri"/>
        </w:rPr>
        <w:t xml:space="preserve"> Silvana, solicitou autorização para contratação de empresa especializada em direito previdenciário para que, junto com o jurídico e diretoria do IPMAT, possamos revisar nossa Lei, Estatuto e regimento e formular adequadamente uma nova lei. O </w:t>
      </w:r>
      <w:proofErr w:type="spellStart"/>
      <w:r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 xml:space="preserve"> Luiz manifestou-se apoiando a contratação por se tratar de um assunto delicado como é a Lei Previdenciária, e uma consultoria especializada é importante para desenvolver uma Lei adequada, pois envolve a estrutura da Lei e as pessoas que são aposentadas e que irão se aposentar. A </w:t>
      </w:r>
      <w:proofErr w:type="spellStart"/>
      <w:r>
        <w:rPr>
          <w:rFonts w:ascii="Calibri" w:hAnsi="Calibri" w:cs="Calibri"/>
        </w:rPr>
        <w:t>Srª</w:t>
      </w:r>
      <w:proofErr w:type="spellEnd"/>
      <w:r>
        <w:rPr>
          <w:rFonts w:ascii="Calibri" w:hAnsi="Calibri" w:cs="Calibri"/>
        </w:rPr>
        <w:t xml:space="preserve"> Silvana perguntou se todos estão de acordo com a contratação sugerida e todos aprovam o processo de contratação por licitação. Dando continuidade aos assuntos, a </w:t>
      </w:r>
      <w:proofErr w:type="spellStart"/>
      <w:r>
        <w:rPr>
          <w:rFonts w:ascii="Calibri" w:hAnsi="Calibri" w:cs="Calibri"/>
        </w:rPr>
        <w:t>Srª</w:t>
      </w:r>
      <w:proofErr w:type="spellEnd"/>
      <w:r>
        <w:rPr>
          <w:rFonts w:ascii="Calibri" w:hAnsi="Calibri" w:cs="Calibri"/>
        </w:rPr>
        <w:t xml:space="preserve"> Silvana explanou sobre Lei nº 13.864/2019 que trata sobre as responsabilidades previdenciárias. Atualmente todos os membros dos Conselhos e Comitê respondem pelos atos exercidos pelo IPMAT; devem possuir certificação correspondente a função. O conselho diretor deve ter ensino superior e experiência na área previdenciária. As graduações permitidas são atuário, auditoria, administrativo, contabilidade, direito, economia. Certificação em matéria previdenciária, participação em cursos, palestras, congressos previdenciários. Outro assunto importante é sobre Acordão expedido pelo Tribunal de contas. Nele, cita que quem trabalhou e contribuiu para o Regime Geral (INSS) e agora </w:t>
      </w:r>
      <w:proofErr w:type="spellStart"/>
      <w:r>
        <w:rPr>
          <w:rFonts w:ascii="Calibri" w:hAnsi="Calibri" w:cs="Calibri"/>
        </w:rPr>
        <w:t>esta</w:t>
      </w:r>
      <w:proofErr w:type="spellEnd"/>
      <w:r>
        <w:rPr>
          <w:rFonts w:ascii="Calibri" w:hAnsi="Calibri" w:cs="Calibri"/>
        </w:rPr>
        <w:t xml:space="preserve"> trabalhando no Regime Próprio (RPPS), deve aposentar-se pelo INSS e não pelo RPPS. Mas isto acaba sendo contra as regras atuais. As associações reuniram-se nesta semana para formular e solicitaram revisão deste acordão. Nesta semana, alguns colaboradores do Instituto participaram de encontro no salão de atos do parque </w:t>
      </w:r>
      <w:proofErr w:type="spellStart"/>
      <w:r>
        <w:rPr>
          <w:rFonts w:ascii="Calibri" w:hAnsi="Calibri" w:cs="Calibri"/>
        </w:rPr>
        <w:t>Barigui</w:t>
      </w:r>
      <w:proofErr w:type="spellEnd"/>
      <w:r>
        <w:rPr>
          <w:rFonts w:ascii="Calibri" w:hAnsi="Calibri" w:cs="Calibri"/>
        </w:rPr>
        <w:t xml:space="preserve"> para tratar de assuntos sobre os informativos atuariais e sobre previdência complementar. A Previdência Complementar é proposta, obrigatoriamente, para os novos colaboradores que ingressem no serviço público (valido a partir da publicação e aceitação da Lei pela Secretaria de Previdência) e facultativa para os atuais servidores. O município de Curitiba já implantou o seu, como apresentado, e ressaltou que é um assunto delicado e pretende fazer uma espécie de consorcio para que outros municípios que vejam a inviabilidade de fazer suas previdências complementares possam fazer parte da </w:t>
      </w:r>
      <w:proofErr w:type="spellStart"/>
      <w:r>
        <w:rPr>
          <w:rFonts w:ascii="Calibri" w:hAnsi="Calibri" w:cs="Calibri"/>
        </w:rPr>
        <w:t>CuritibaPrev</w:t>
      </w:r>
      <w:proofErr w:type="spellEnd"/>
      <w:r>
        <w:rPr>
          <w:rFonts w:ascii="Calibri" w:hAnsi="Calibri" w:cs="Calibri"/>
        </w:rPr>
        <w:t xml:space="preserve">. O </w:t>
      </w:r>
      <w:proofErr w:type="spellStart"/>
      <w:r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 xml:space="preserve"> Cesário preocupa-se com a regulamentação se tivermos que iniciar do zero. A </w:t>
      </w:r>
      <w:proofErr w:type="spellStart"/>
      <w:r>
        <w:rPr>
          <w:rFonts w:ascii="Calibri" w:hAnsi="Calibri" w:cs="Calibri"/>
        </w:rPr>
        <w:t>Srª</w:t>
      </w:r>
      <w:proofErr w:type="spellEnd"/>
      <w:r>
        <w:rPr>
          <w:rFonts w:ascii="Calibri" w:hAnsi="Calibri" w:cs="Calibri"/>
        </w:rPr>
        <w:t xml:space="preserve"> Silvana citou que temos a PREVIC para orientação e regulamentação. Devemos iniciar processo de implantação ou convênio. Para convênio podemos contar com a </w:t>
      </w:r>
      <w:proofErr w:type="spellStart"/>
      <w:r>
        <w:rPr>
          <w:rFonts w:ascii="Calibri" w:hAnsi="Calibri" w:cs="Calibri"/>
        </w:rPr>
        <w:t>CuritibaPrev</w:t>
      </w:r>
      <w:proofErr w:type="spellEnd"/>
      <w:r>
        <w:rPr>
          <w:rFonts w:ascii="Calibri" w:hAnsi="Calibri" w:cs="Calibri"/>
        </w:rPr>
        <w:t xml:space="preserve"> ou com o Banco do Brasil, que </w:t>
      </w:r>
      <w:proofErr w:type="spellStart"/>
      <w:r>
        <w:rPr>
          <w:rFonts w:ascii="Calibri" w:hAnsi="Calibri" w:cs="Calibri"/>
        </w:rPr>
        <w:t>esta</w:t>
      </w:r>
      <w:proofErr w:type="spellEnd"/>
      <w:r>
        <w:rPr>
          <w:rFonts w:ascii="Calibri" w:hAnsi="Calibri" w:cs="Calibri"/>
        </w:rPr>
        <w:t xml:space="preserve"> elaborando Plano de Previdência Complementar para Servidores Públicos. Em relação a parte atuária, a base de dados utilizada deve ser individualizada, ou seja, cada funcionário deve ter seu cadastro o mais completo possível, com seus dados pessoais, dependentes, e principalmente, deve constar a CTC de outro órgão que tenha trabalhado ou no mínimo o CNIS para que o cálculo atuarial exigido anualmente seja aceito. É necessário dado concreto e estes devem ser reais. Não se aceita mais cálculo com média. Com todas estas alterações, a </w:t>
      </w:r>
      <w:proofErr w:type="spellStart"/>
      <w:r>
        <w:rPr>
          <w:rFonts w:ascii="Calibri" w:hAnsi="Calibri" w:cs="Calibri"/>
        </w:rPr>
        <w:t>Drª</w:t>
      </w:r>
      <w:proofErr w:type="spellEnd"/>
      <w:r>
        <w:rPr>
          <w:rFonts w:ascii="Calibri" w:hAnsi="Calibri" w:cs="Calibri"/>
        </w:rPr>
        <w:t xml:space="preserve"> Ana, advogada, passará a atuar no IPMAT em tempo integral, pois hoje atua um período na prefeitura e outro no IPMAT. É importante a presença do jurídico no IPMAT para sanar as dúvidas, trabalharmos na Lei e demais assuntos </w:t>
      </w:r>
      <w:r>
        <w:rPr>
          <w:rFonts w:ascii="Calibri" w:hAnsi="Calibri" w:cs="Calibri"/>
        </w:rPr>
        <w:lastRenderedPageBreak/>
        <w:t xml:space="preserve">pertinentes como conversas com outros municípios onde podemos trabalhar com cases. </w:t>
      </w:r>
      <w:r w:rsidRPr="00D50280">
        <w:rPr>
          <w:rFonts w:ascii="Calibri" w:hAnsi="Calibri" w:cs="Calibri"/>
        </w:rPr>
        <w:t xml:space="preserve">A Diretora Presidente, 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>, pergunto</w:t>
      </w:r>
      <w:r>
        <w:rPr>
          <w:rFonts w:ascii="Calibri" w:hAnsi="Calibri" w:cs="Calibri"/>
        </w:rPr>
        <w:t xml:space="preserve">u se possuíam dúvidas e sem nenhuma e todos os assuntos sanados, </w:t>
      </w:r>
      <w:r w:rsidRPr="00D50280">
        <w:rPr>
          <w:rFonts w:ascii="Calibri" w:hAnsi="Calibri" w:cs="Calibri"/>
        </w:rPr>
        <w:t xml:space="preserve">a reunião foi encerrada pela Diretora Presidente do IPMAT, senhora 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 xml:space="preserve">, determinando que fosse lavrada a presente ata e, após lida e aprovada, vai assinada por mim, Michelle Goinski, secretaria ad hoc e pela Diretora Presidente Senhora 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>.</w:t>
      </w:r>
    </w:p>
    <w:p w:rsidR="002D13B0" w:rsidRDefault="002D13B0" w:rsidP="002D13B0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:rsidR="002D13B0" w:rsidRPr="00D50280" w:rsidRDefault="002D13B0" w:rsidP="002D13B0">
      <w:pPr>
        <w:jc w:val="both"/>
        <w:rPr>
          <w:rFonts w:ascii="Calibri" w:hAnsi="Calibri" w:cs="Calibri"/>
        </w:rPr>
      </w:pPr>
      <w:r w:rsidRPr="00D50280">
        <w:rPr>
          <w:rFonts w:ascii="Calibri" w:hAnsi="Calibri" w:cs="Calibri"/>
        </w:rPr>
        <w:t>Lista de presença da reunião</w:t>
      </w:r>
      <w:r>
        <w:rPr>
          <w:rFonts w:ascii="Calibri" w:hAnsi="Calibri" w:cs="Calibri"/>
        </w:rPr>
        <w:t xml:space="preserve"> extraordinária</w:t>
      </w:r>
      <w:r w:rsidRPr="00D50280">
        <w:rPr>
          <w:rFonts w:ascii="Calibri" w:hAnsi="Calibri" w:cs="Calibri"/>
        </w:rPr>
        <w:t xml:space="preserve"> do Conselho Municipal de Administração e Previdência, Conselho Fiscal e Conselh</w:t>
      </w:r>
      <w:r>
        <w:rPr>
          <w:rFonts w:ascii="Calibri" w:hAnsi="Calibri" w:cs="Calibri"/>
        </w:rPr>
        <w:t xml:space="preserve">o Diretor, e Comitê de Investimentos, do </w:t>
      </w:r>
      <w:r w:rsidRPr="00D50280">
        <w:rPr>
          <w:rFonts w:ascii="Calibri" w:hAnsi="Calibri" w:cs="Calibri"/>
        </w:rPr>
        <w:t>exercício de dois mil e dezenove, realizado no dia</w:t>
      </w:r>
      <w:r>
        <w:rPr>
          <w:rFonts w:ascii="Calibri" w:hAnsi="Calibri" w:cs="Calibri"/>
        </w:rPr>
        <w:t xml:space="preserve"> nove </w:t>
      </w:r>
      <w:r w:rsidRPr="00D50280">
        <w:rPr>
          <w:rFonts w:ascii="Calibri" w:hAnsi="Calibri" w:cs="Calibri"/>
        </w:rPr>
        <w:t xml:space="preserve">do mês de </w:t>
      </w:r>
      <w:r>
        <w:rPr>
          <w:rFonts w:ascii="Calibri" w:hAnsi="Calibri" w:cs="Calibri"/>
        </w:rPr>
        <w:t>dezembro</w:t>
      </w:r>
      <w:r w:rsidRPr="00D50280">
        <w:rPr>
          <w:rFonts w:ascii="Calibri" w:hAnsi="Calibri" w:cs="Calibri"/>
        </w:rPr>
        <w:t xml:space="preserve"> do corrente ano, </w:t>
      </w:r>
      <w:r>
        <w:rPr>
          <w:rFonts w:ascii="Calibri" w:hAnsi="Calibri" w:cs="Calibri"/>
        </w:rPr>
        <w:t>na sala de reuniões do Paço Municipal</w:t>
      </w:r>
      <w:r w:rsidRPr="00D50280">
        <w:rPr>
          <w:rFonts w:ascii="Calibri" w:hAnsi="Calibri" w:cs="Calibri"/>
        </w:rPr>
        <w:t xml:space="preserve">. O assunto em pauta: </w:t>
      </w:r>
      <w:r>
        <w:rPr>
          <w:rFonts w:ascii="Calibri" w:hAnsi="Calibri" w:cs="Calibri"/>
        </w:rPr>
        <w:t xml:space="preserve">Aprovação da Política de Investimentos, Apresentação da Consultoria e </w:t>
      </w:r>
      <w:r w:rsidRPr="00D50280">
        <w:rPr>
          <w:rFonts w:ascii="Calibri" w:hAnsi="Calibri" w:cs="Calibri"/>
        </w:rPr>
        <w:t xml:space="preserve">demais assuntos pertinentes.  </w:t>
      </w:r>
    </w:p>
    <w:p w:rsidR="002D13B0" w:rsidRPr="00D50280" w:rsidRDefault="002D13B0" w:rsidP="002D13B0">
      <w:pPr>
        <w:jc w:val="both"/>
        <w:rPr>
          <w:rFonts w:ascii="Calibri" w:hAnsi="Calibri" w:cs="Calibri"/>
        </w:rPr>
      </w:pPr>
      <w:r w:rsidRPr="00D50280">
        <w:rPr>
          <w:rFonts w:ascii="Calibri" w:hAnsi="Calibri" w:cs="Calibri"/>
        </w:rPr>
        <w:t xml:space="preserve">Amarildo Batista França, </w:t>
      </w:r>
      <w:proofErr w:type="spellStart"/>
      <w:r w:rsidRPr="00D50280">
        <w:rPr>
          <w:rFonts w:ascii="Calibri" w:hAnsi="Calibri" w:cs="Calibri"/>
        </w:rPr>
        <w:t>Atemildo</w:t>
      </w:r>
      <w:proofErr w:type="spellEnd"/>
      <w:r w:rsidRPr="00D50280">
        <w:rPr>
          <w:rFonts w:ascii="Calibri" w:hAnsi="Calibri" w:cs="Calibri"/>
        </w:rPr>
        <w:t xml:space="preserve"> Dias dos Santos, Carlos Roberto </w:t>
      </w:r>
      <w:proofErr w:type="spellStart"/>
      <w:r w:rsidRPr="00D50280">
        <w:rPr>
          <w:rFonts w:ascii="Calibri" w:hAnsi="Calibri" w:cs="Calibri"/>
        </w:rPr>
        <w:t>Zilli</w:t>
      </w:r>
      <w:proofErr w:type="spellEnd"/>
      <w:r w:rsidRPr="00D50280">
        <w:rPr>
          <w:rFonts w:ascii="Calibri" w:hAnsi="Calibri" w:cs="Calibri"/>
        </w:rPr>
        <w:t xml:space="preserve">, </w:t>
      </w:r>
      <w:proofErr w:type="spellStart"/>
      <w:r w:rsidRPr="00D50280">
        <w:rPr>
          <w:rFonts w:ascii="Calibri" w:hAnsi="Calibri" w:cs="Calibri"/>
        </w:rPr>
        <w:t>Claudeci</w:t>
      </w:r>
      <w:proofErr w:type="spellEnd"/>
      <w:r w:rsidRPr="00D50280">
        <w:rPr>
          <w:rFonts w:ascii="Calibri" w:hAnsi="Calibri" w:cs="Calibri"/>
        </w:rPr>
        <w:t xml:space="preserve"> Aparecido Rodrigues, Deise Pereira Santos Carvalho, Anderson </w:t>
      </w:r>
      <w:proofErr w:type="spellStart"/>
      <w:r w:rsidRPr="00D50280">
        <w:rPr>
          <w:rFonts w:ascii="Calibri" w:hAnsi="Calibri" w:cs="Calibri"/>
        </w:rPr>
        <w:t>Wiens</w:t>
      </w:r>
      <w:proofErr w:type="spellEnd"/>
      <w:r w:rsidRPr="00D50280">
        <w:rPr>
          <w:rFonts w:ascii="Calibri" w:hAnsi="Calibri" w:cs="Calibri"/>
        </w:rPr>
        <w:t xml:space="preserve">, Ernesto Antônio Rossi, Fabio Augusto da Silva, Francisco de Assis de Almeida Pereira, José Carlos </w:t>
      </w:r>
      <w:proofErr w:type="spellStart"/>
      <w:r w:rsidRPr="00D50280">
        <w:rPr>
          <w:rFonts w:ascii="Calibri" w:hAnsi="Calibri" w:cs="Calibri"/>
        </w:rPr>
        <w:t>Cesario</w:t>
      </w:r>
      <w:proofErr w:type="spellEnd"/>
      <w:r w:rsidRPr="00D50280">
        <w:rPr>
          <w:rFonts w:ascii="Calibri" w:hAnsi="Calibri" w:cs="Calibri"/>
        </w:rPr>
        <w:t xml:space="preserve"> Pereira, </w:t>
      </w:r>
      <w:proofErr w:type="spellStart"/>
      <w:r w:rsidRPr="00D50280">
        <w:rPr>
          <w:rFonts w:ascii="Calibri" w:hAnsi="Calibri" w:cs="Calibri"/>
        </w:rPr>
        <w:t>Lucimari</w:t>
      </w:r>
      <w:proofErr w:type="spellEnd"/>
      <w:r w:rsidRPr="00D50280">
        <w:rPr>
          <w:rFonts w:ascii="Calibri" w:hAnsi="Calibri" w:cs="Calibri"/>
        </w:rPr>
        <w:t xml:space="preserve"> da Luz </w:t>
      </w:r>
      <w:proofErr w:type="spellStart"/>
      <w:r w:rsidRPr="00D50280">
        <w:rPr>
          <w:rFonts w:ascii="Calibri" w:hAnsi="Calibri" w:cs="Calibri"/>
        </w:rPr>
        <w:t>Perussi</w:t>
      </w:r>
      <w:proofErr w:type="spellEnd"/>
      <w:r w:rsidRPr="00D50280">
        <w:rPr>
          <w:rFonts w:ascii="Calibri" w:hAnsi="Calibri" w:cs="Calibri"/>
        </w:rPr>
        <w:t xml:space="preserve"> </w:t>
      </w:r>
      <w:proofErr w:type="spellStart"/>
      <w:r w:rsidRPr="00D50280">
        <w:rPr>
          <w:rFonts w:ascii="Calibri" w:hAnsi="Calibri" w:cs="Calibri"/>
        </w:rPr>
        <w:t>Nicolotte</w:t>
      </w:r>
      <w:proofErr w:type="spellEnd"/>
      <w:r w:rsidRPr="00D50280">
        <w:rPr>
          <w:rFonts w:ascii="Calibri" w:hAnsi="Calibri" w:cs="Calibri"/>
        </w:rPr>
        <w:t xml:space="preserve">, Luiz Carlos Teixeira da Luz, Mari Lucia </w:t>
      </w:r>
      <w:proofErr w:type="spellStart"/>
      <w:r w:rsidRPr="00D50280">
        <w:rPr>
          <w:rFonts w:ascii="Calibri" w:hAnsi="Calibri" w:cs="Calibri"/>
        </w:rPr>
        <w:t>Perussi</w:t>
      </w:r>
      <w:proofErr w:type="spellEnd"/>
      <w:r w:rsidRPr="00D50280">
        <w:rPr>
          <w:rFonts w:ascii="Calibri" w:hAnsi="Calibri" w:cs="Calibri"/>
        </w:rPr>
        <w:t xml:space="preserve">, Maria Inês </w:t>
      </w:r>
      <w:proofErr w:type="spellStart"/>
      <w:r w:rsidRPr="00D50280">
        <w:rPr>
          <w:rFonts w:ascii="Calibri" w:hAnsi="Calibri" w:cs="Calibri"/>
        </w:rPr>
        <w:t>Tomacheski</w:t>
      </w:r>
      <w:proofErr w:type="spellEnd"/>
      <w:r w:rsidRPr="00D5028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Mario Roberto Gurgel, </w:t>
      </w:r>
      <w:r w:rsidRPr="00D50280">
        <w:rPr>
          <w:rFonts w:ascii="Calibri" w:hAnsi="Calibri" w:cs="Calibri"/>
        </w:rPr>
        <w:t xml:space="preserve">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 xml:space="preserve">, Michelle Goinski, </w:t>
      </w:r>
      <w:r>
        <w:rPr>
          <w:rFonts w:ascii="Calibri" w:hAnsi="Calibri" w:cs="Calibri"/>
        </w:rPr>
        <w:t xml:space="preserve">Sandra Maria </w:t>
      </w:r>
      <w:proofErr w:type="spellStart"/>
      <w:r>
        <w:rPr>
          <w:rFonts w:ascii="Calibri" w:hAnsi="Calibri" w:cs="Calibri"/>
        </w:rPr>
        <w:t>Cumim</w:t>
      </w:r>
      <w:proofErr w:type="spellEnd"/>
      <w:r>
        <w:rPr>
          <w:rFonts w:ascii="Calibri" w:hAnsi="Calibri" w:cs="Calibri"/>
        </w:rPr>
        <w:t xml:space="preserve"> Ferro, </w:t>
      </w:r>
      <w:r w:rsidRPr="00D50280">
        <w:rPr>
          <w:rFonts w:ascii="Calibri" w:hAnsi="Calibri" w:cs="Calibri"/>
        </w:rPr>
        <w:t xml:space="preserve">Paulo Cesar dos Santos Cardoso, Vanderlei José </w:t>
      </w:r>
      <w:proofErr w:type="spellStart"/>
      <w:r w:rsidRPr="00D50280">
        <w:rPr>
          <w:rFonts w:ascii="Calibri" w:hAnsi="Calibri" w:cs="Calibri"/>
        </w:rPr>
        <w:t>Giaretta</w:t>
      </w:r>
      <w:proofErr w:type="spellEnd"/>
      <w:r w:rsidRPr="00D50280">
        <w:rPr>
          <w:rFonts w:ascii="Calibri" w:hAnsi="Calibri" w:cs="Calibri"/>
        </w:rPr>
        <w:t>.</w:t>
      </w:r>
    </w:p>
    <w:p w:rsidR="002D13B0" w:rsidRDefault="002D13B0" w:rsidP="002D13B0">
      <w:pPr>
        <w:jc w:val="both"/>
      </w:pPr>
      <w:r w:rsidRPr="00D50280">
        <w:rPr>
          <w:rFonts w:ascii="Calibri" w:hAnsi="Calibri" w:cs="Calibri"/>
        </w:rPr>
        <w:t xml:space="preserve">Ata da reunião </w:t>
      </w:r>
      <w:r>
        <w:rPr>
          <w:rFonts w:ascii="Calibri" w:hAnsi="Calibri" w:cs="Calibri"/>
        </w:rPr>
        <w:t xml:space="preserve">extraordinária </w:t>
      </w:r>
      <w:r w:rsidRPr="00D50280">
        <w:rPr>
          <w:rFonts w:ascii="Calibri" w:hAnsi="Calibri" w:cs="Calibri"/>
        </w:rPr>
        <w:t>do Conselho Municipal de Administração e Previdência, Conselho Fiscal e Conselho Diretor do IPMAT</w:t>
      </w:r>
      <w:r>
        <w:rPr>
          <w:rFonts w:ascii="Calibri" w:hAnsi="Calibri" w:cs="Calibri"/>
        </w:rPr>
        <w:t xml:space="preserve"> juntamente com o Comitê de Investimentos</w:t>
      </w:r>
      <w:r w:rsidRPr="00D5028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no dia nove</w:t>
      </w:r>
      <w:r w:rsidRPr="00D50280">
        <w:rPr>
          <w:rFonts w:ascii="Calibri" w:hAnsi="Calibri" w:cs="Calibri"/>
        </w:rPr>
        <w:t xml:space="preserve"> do mês de </w:t>
      </w:r>
      <w:r>
        <w:rPr>
          <w:rFonts w:ascii="Calibri" w:hAnsi="Calibri" w:cs="Calibri"/>
        </w:rPr>
        <w:t>dezembro</w:t>
      </w:r>
      <w:r w:rsidRPr="00D50280">
        <w:rPr>
          <w:rFonts w:ascii="Calibri" w:hAnsi="Calibri" w:cs="Calibri"/>
        </w:rPr>
        <w:t xml:space="preserve"> do ano de dois mil e dezenove, às </w:t>
      </w:r>
      <w:r>
        <w:rPr>
          <w:rFonts w:ascii="Calibri" w:hAnsi="Calibri" w:cs="Calibri"/>
        </w:rPr>
        <w:t>quinze</w:t>
      </w:r>
      <w:r w:rsidRPr="00D50280">
        <w:rPr>
          <w:rFonts w:ascii="Calibri" w:hAnsi="Calibri" w:cs="Calibri"/>
        </w:rPr>
        <w:t xml:space="preserve"> horas, </w:t>
      </w:r>
      <w:r>
        <w:rPr>
          <w:rFonts w:ascii="Calibri" w:hAnsi="Calibri" w:cs="Calibri"/>
        </w:rPr>
        <w:t>na sala de reuniões do Paço Municipal</w:t>
      </w:r>
      <w:r w:rsidRPr="00D50280">
        <w:rPr>
          <w:rFonts w:ascii="Calibri" w:hAnsi="Calibri" w:cs="Calibri"/>
        </w:rPr>
        <w:t xml:space="preserve">, sito à </w:t>
      </w:r>
      <w:r>
        <w:rPr>
          <w:rFonts w:ascii="Calibri" w:hAnsi="Calibri" w:cs="Calibri"/>
        </w:rPr>
        <w:t>Avenida Emilio Johnson, 360</w:t>
      </w:r>
      <w:r w:rsidRPr="00D50280">
        <w:rPr>
          <w:rFonts w:ascii="Calibri" w:hAnsi="Calibri" w:cs="Calibri"/>
        </w:rPr>
        <w:t xml:space="preserve">, Vila Santa Terezinha, Almirante Tamandaré, Paraná. A Senhora Diretora Presidente, Maria Silvana </w:t>
      </w:r>
      <w:proofErr w:type="spellStart"/>
      <w:r w:rsidRPr="00D50280">
        <w:rPr>
          <w:rFonts w:ascii="Calibri" w:hAnsi="Calibri" w:cs="Calibri"/>
        </w:rPr>
        <w:t>Buzato</w:t>
      </w:r>
      <w:proofErr w:type="spellEnd"/>
      <w:r w:rsidRPr="00D50280">
        <w:rPr>
          <w:rFonts w:ascii="Calibri" w:hAnsi="Calibri" w:cs="Calibri"/>
        </w:rPr>
        <w:t>, abriu a reunião explanando os assunto</w:t>
      </w:r>
      <w:r>
        <w:rPr>
          <w:rFonts w:ascii="Calibri" w:hAnsi="Calibri" w:cs="Calibri"/>
        </w:rPr>
        <w:t xml:space="preserve">s em pauta e apresentando a consultoria financeira vencedora do certame, Mais Valia Consultoria LTDA, representado pelo </w:t>
      </w:r>
      <w:proofErr w:type="spellStart"/>
      <w:r>
        <w:rPr>
          <w:rFonts w:ascii="Calibri" w:hAnsi="Calibri" w:cs="Calibri"/>
        </w:rPr>
        <w:t>Sr</w:t>
      </w:r>
      <w:proofErr w:type="spellEnd"/>
      <w:r>
        <w:rPr>
          <w:rFonts w:ascii="Calibri" w:hAnsi="Calibri" w:cs="Calibri"/>
        </w:rPr>
        <w:t xml:space="preserve"> Ronaldo Borges da Fonseca. Ele iniciou apresentando-se e explanando sobre o mercado financeiro nacional e internacional. Comentando algumas expectativas para o próximo ano como a queda dos juros e inflação. Devemos analisar outros caminhos para investimentos. Apesar de já estarmos diversificando nossa carteira, podemos aumentar mais os investimentos em renda variável. O mercado apresentará valorização dos ativos reais; investir em imóveis e fundos imobiliários será uma alternativa para atingir a meta atuarial para 2020 que é de 5,86%. A política de investimentos é um plano de intenções de investimentos que deve ser encaminhado à Secretaria de Previdência anualmente. Explanou sobre a demanda e oferta de mercado, que influencia toda a atividade econômica do país. Também as reformas propostas pelo governo influenciam em todo mercado financeiro. Há possibilidade de privatizações o que pode alavancar a economia. Dentro da carteira atual do IPMAT propôs escolher entre os fundos IBX-50 e Ibovespa pois os dois possuem o mesmo indexador, visando melhor alocação dos recursos. Devemos reavaliar os fundos multimercado, devido sua volatilidade. Referente a renda variável propôs a revisão dos fundos do artigo 8º, III, analisando para realocar no artigo 8º, II, que apresenta melhores oportunidades. O mercado de fundos que investem no exterior deve ser estudado, pois num futuro pode ser um mercado promissor. Uma oportunidade são os FIDIC – creditórios, que estão apresentando uma boa rentabilidade e prometem melhorar para o próximo ano. </w:t>
      </w:r>
      <w:r w:rsidRPr="00652A13">
        <w:rPr>
          <w:rFonts w:ascii="Calibri" w:hAnsi="Calibri" w:cs="Calibri"/>
        </w:rPr>
        <w:t>Após as explanações sobre os cenários econômicos, apresentou-se a proposta de Estratégia de Alocação para o exercício de 2020, explanando cada artigo e o motivo da porcentagem. A tabela abaixo, mostra as alocações em cada segmento e artigo:</w:t>
      </w:r>
      <w:r>
        <w:t xml:space="preserve"> </w:t>
      </w:r>
    </w:p>
    <w:tbl>
      <w:tblPr>
        <w:tblW w:w="103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528"/>
        <w:gridCol w:w="1141"/>
        <w:gridCol w:w="854"/>
        <w:gridCol w:w="872"/>
        <w:gridCol w:w="872"/>
        <w:gridCol w:w="872"/>
        <w:gridCol w:w="530"/>
        <w:gridCol w:w="755"/>
        <w:gridCol w:w="2480"/>
      </w:tblGrid>
      <w:tr w:rsidR="002D13B0" w:rsidTr="00656069">
        <w:trPr>
          <w:trHeight w:val="300"/>
        </w:trPr>
        <w:tc>
          <w:tcPr>
            <w:tcW w:w="1407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002060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bookmarkStart w:id="0" w:name="RANGE!A1:J34"/>
            <w:r w:rsidRPr="008D0DF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SEGMENTO</w:t>
            </w:r>
            <w:bookmarkEnd w:id="0"/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002060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D0DF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TIPO DE ATIVO</w:t>
            </w:r>
          </w:p>
        </w:tc>
        <w:tc>
          <w:tcPr>
            <w:tcW w:w="3470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D0DF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LIMITES RES 4695 </w:t>
            </w:r>
          </w:p>
        </w:tc>
        <w:tc>
          <w:tcPr>
            <w:tcW w:w="376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2060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D0DF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ESTRATÉGIA DE ALOCAÇÃO - PI 2020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D0DF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ARTIGO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D0DF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% Carteira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D0DF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% Carteira no PL Fundo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D0DF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% Carteira por Fundo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D0DF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LIM INF (%)              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D0DF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EST ALV (%)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8D0DF5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LIM SUP (%)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>Renda Fixa</w:t>
            </w: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 xml:space="preserve">Títulos Públicos de emissão do Tesouro Nacional </w:t>
            </w:r>
          </w:p>
        </w:tc>
        <w:tc>
          <w:tcPr>
            <w:tcW w:w="85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7 I a</w:t>
            </w:r>
          </w:p>
        </w:tc>
        <w:tc>
          <w:tcPr>
            <w:tcW w:w="8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53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2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 xml:space="preserve">FI 100% Títulos TN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7 I b</w:t>
            </w:r>
          </w:p>
        </w:tc>
        <w:tc>
          <w:tcPr>
            <w:tcW w:w="87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>ETF 100% Títulos Públicos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7 I c</w:t>
            </w:r>
          </w:p>
        </w:tc>
        <w:tc>
          <w:tcPr>
            <w:tcW w:w="87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 xml:space="preserve">Operações Compromissadas com Títulos do TN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7 II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 xml:space="preserve">FI Renda Fixa "Referenciados"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7 III a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60,00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>ETF Renda Fixa "Referenciados"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7 III b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60,00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 xml:space="preserve">FI Renda Fixa - Geral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7 IV a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>ETF Demais Indicadores de RF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7 IV b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>Letras Imobiliárias Garantidas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7 V b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20,00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>CDB Certificados de Depósito Bancários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7 VI a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 xml:space="preserve">Poupança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7 VI b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 xml:space="preserve">FI em Direitos Creditórios - Cota Sênior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7 VII 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>FI Renda Fixa - Crédito Privado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7 VII b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>FI Debêntures de Infraestrutura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7 VII 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0DF5">
              <w:rPr>
                <w:rFonts w:ascii="Calibri" w:hAnsi="Calibri" w:cs="Calibr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71,50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>Renda Variável e Investimentos Estruturados</w:t>
            </w: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 xml:space="preserve">FI de Ações - Índices c/no mínimo 50 ações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8 I a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30,00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 xml:space="preserve">ETF - Índices de Ações (c/ no mínimo 50 ações)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8 I b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30,00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 xml:space="preserve">FI de Ações - Geral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8 II a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20,00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>ETF - Demais Índices de Ações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8 II b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20,00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 xml:space="preserve">FI Multimercado - Aberto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8 III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10,00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 xml:space="preserve">FI em Participações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8 IV 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 xml:space="preserve">FI Imobiliários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8 IV b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>FI Ações - Mercado de Acesso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8 IV c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5,00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0DF5">
              <w:rPr>
                <w:rFonts w:ascii="Calibri" w:hAnsi="Calibri" w:cs="Calibr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28,50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>Investimentos no Exterior</w:t>
            </w: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>Fundo de Renda Fixa - Dívida Externa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9 A I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10,00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 xml:space="preserve">Fundo de Investimentos - Sufixo Investimento no Exterior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9 A II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10,00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  <w:r w:rsidRPr="008D0DF5">
              <w:rPr>
                <w:rFonts w:ascii="Calibri" w:hAnsi="Calibri" w:cs="Calibri"/>
                <w:sz w:val="16"/>
                <w:szCs w:val="16"/>
              </w:rPr>
              <w:t>Fundo de Ações BDR Nível 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9 A III</w:t>
            </w:r>
          </w:p>
        </w:tc>
        <w:tc>
          <w:tcPr>
            <w:tcW w:w="8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10,00</w:t>
            </w:r>
          </w:p>
        </w:tc>
      </w:tr>
      <w:tr w:rsidR="002D13B0" w:rsidTr="00656069">
        <w:trPr>
          <w:trHeight w:val="300"/>
        </w:trPr>
        <w:tc>
          <w:tcPr>
            <w:tcW w:w="1407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D0DF5">
              <w:rPr>
                <w:rFonts w:ascii="Calibri" w:hAnsi="Calibri" w:cs="Calibr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D13B0" w:rsidTr="00656069">
        <w:trPr>
          <w:trHeight w:val="300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3B0" w:rsidRPr="008D0DF5" w:rsidRDefault="002D13B0" w:rsidP="006560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13B0" w:rsidRPr="008D0DF5" w:rsidRDefault="002D13B0" w:rsidP="006560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0DF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2D13B0" w:rsidRPr="002D3595" w:rsidRDefault="002D13B0" w:rsidP="002D13B0">
      <w:pPr>
        <w:jc w:val="both"/>
        <w:rPr>
          <w:rFonts w:ascii="Calibri" w:hAnsi="Calibri" w:cs="Calibri"/>
        </w:rPr>
      </w:pPr>
      <w:r w:rsidRPr="002D3595">
        <w:rPr>
          <w:rFonts w:ascii="Calibri" w:hAnsi="Calibri" w:cs="Calibri"/>
        </w:rPr>
        <w:t>Restrições Gerais:</w:t>
      </w:r>
    </w:p>
    <w:p w:rsidR="002D13B0" w:rsidRPr="002D3595" w:rsidRDefault="002D13B0" w:rsidP="002D13B0">
      <w:pPr>
        <w:jc w:val="both"/>
        <w:rPr>
          <w:rFonts w:ascii="Calibri" w:hAnsi="Calibri" w:cs="Calibri"/>
        </w:rPr>
      </w:pPr>
      <w:r w:rsidRPr="002D3595">
        <w:rPr>
          <w:rFonts w:ascii="Calibri" w:hAnsi="Calibri" w:cs="Calibri"/>
        </w:rPr>
        <w:t>I – As aplicações em CDB (</w:t>
      </w:r>
      <w:proofErr w:type="spellStart"/>
      <w:r w:rsidRPr="002D3595">
        <w:rPr>
          <w:rFonts w:ascii="Calibri" w:hAnsi="Calibri" w:cs="Calibri"/>
        </w:rPr>
        <w:t>Art</w:t>
      </w:r>
      <w:proofErr w:type="spellEnd"/>
      <w:r w:rsidRPr="002D3595">
        <w:rPr>
          <w:rFonts w:ascii="Calibri" w:hAnsi="Calibri" w:cs="Calibri"/>
        </w:rPr>
        <w:t xml:space="preserve"> 7, VI, a) estão limitadas ao montante garantido pelo FGC.</w:t>
      </w:r>
    </w:p>
    <w:p w:rsidR="002D13B0" w:rsidRPr="002D3595" w:rsidRDefault="002D13B0" w:rsidP="002D13B0">
      <w:pPr>
        <w:jc w:val="both"/>
        <w:rPr>
          <w:rFonts w:ascii="Calibri" w:hAnsi="Calibri" w:cs="Calibri"/>
        </w:rPr>
      </w:pPr>
      <w:r w:rsidRPr="002D3595">
        <w:rPr>
          <w:rFonts w:ascii="Calibri" w:hAnsi="Calibri" w:cs="Calibri"/>
        </w:rPr>
        <w:t>II – As aplicações em fundos de investimentos de um mesmo gestor, estão limitadas a no máximo 5% do volume total da carteira.</w:t>
      </w:r>
    </w:p>
    <w:p w:rsidR="002D13B0" w:rsidRPr="002D3595" w:rsidRDefault="002D13B0" w:rsidP="002D13B0">
      <w:pPr>
        <w:jc w:val="both"/>
        <w:rPr>
          <w:rFonts w:ascii="Calibri" w:hAnsi="Calibri" w:cs="Calibri"/>
        </w:rPr>
      </w:pPr>
      <w:r w:rsidRPr="002D3595">
        <w:rPr>
          <w:rFonts w:ascii="Calibri" w:hAnsi="Calibri" w:cs="Calibri"/>
        </w:rPr>
        <w:t>III – As aplicações em Renda Variável e Investimentos Estruturados (</w:t>
      </w:r>
      <w:proofErr w:type="spellStart"/>
      <w:r w:rsidRPr="002D3595">
        <w:rPr>
          <w:rFonts w:ascii="Calibri" w:hAnsi="Calibri" w:cs="Calibri"/>
        </w:rPr>
        <w:t>Art</w:t>
      </w:r>
      <w:proofErr w:type="spellEnd"/>
      <w:r w:rsidRPr="002D3595">
        <w:rPr>
          <w:rFonts w:ascii="Calibri" w:hAnsi="Calibri" w:cs="Calibri"/>
        </w:rPr>
        <w:t xml:space="preserve"> 8) estão limitados a 30% do volume total da carteira. </w:t>
      </w:r>
    </w:p>
    <w:p w:rsidR="002D13B0" w:rsidRPr="00652A13" w:rsidRDefault="002D13B0" w:rsidP="002D13B0">
      <w:pPr>
        <w:jc w:val="both"/>
        <w:rPr>
          <w:rFonts w:ascii="Calibri" w:hAnsi="Calibri" w:cs="Calibri"/>
        </w:rPr>
      </w:pPr>
      <w:r w:rsidRPr="002D3595">
        <w:rPr>
          <w:rFonts w:ascii="Calibri" w:hAnsi="Calibri" w:cs="Calibri"/>
          <w:bCs/>
          <w:szCs w:val="20"/>
        </w:rPr>
        <w:t>O</w:t>
      </w:r>
      <w:r w:rsidRPr="00652A13">
        <w:rPr>
          <w:rFonts w:ascii="Calibri" w:hAnsi="Calibri" w:cs="Calibri"/>
          <w:bCs/>
          <w:szCs w:val="20"/>
        </w:rPr>
        <w:t xml:space="preserve"> IPMAT</w:t>
      </w:r>
      <w:r w:rsidRPr="00652A13">
        <w:rPr>
          <w:rFonts w:ascii="Calibri" w:hAnsi="Calibri" w:cs="Calibri"/>
          <w:b/>
          <w:bCs/>
          <w:szCs w:val="20"/>
        </w:rPr>
        <w:t xml:space="preserve"> </w:t>
      </w:r>
      <w:r w:rsidRPr="00652A13">
        <w:rPr>
          <w:rFonts w:ascii="Calibri" w:hAnsi="Calibri" w:cs="Calibri"/>
          <w:bCs/>
          <w:szCs w:val="20"/>
        </w:rPr>
        <w:t xml:space="preserve">considera os limites apresentados como resultado da análise feita através das reservas técnicas atuariais (ativos) e as reservas matemáticas (passivo) projetadas pelo cálculo atuarial o que pode exigir maior flexibilidade nos níveis de liquidez da carteira. Ficou definido que a meta atuarial será baseada na inflação do </w:t>
      </w:r>
      <w:r w:rsidRPr="008D0DF5">
        <w:rPr>
          <w:rFonts w:ascii="Calibri" w:hAnsi="Calibri" w:cs="Calibri"/>
          <w:bCs/>
          <w:szCs w:val="20"/>
        </w:rPr>
        <w:t>IPCA mais 5,86% (</w:t>
      </w:r>
      <w:proofErr w:type="gramStart"/>
      <w:r w:rsidRPr="008D0DF5">
        <w:rPr>
          <w:rFonts w:ascii="Calibri" w:hAnsi="Calibri" w:cs="Calibri"/>
          <w:bCs/>
          <w:szCs w:val="20"/>
        </w:rPr>
        <w:t>cinco vírgula</w:t>
      </w:r>
      <w:proofErr w:type="gramEnd"/>
      <w:r w:rsidRPr="008D0DF5">
        <w:rPr>
          <w:rFonts w:ascii="Calibri" w:hAnsi="Calibri" w:cs="Calibri"/>
          <w:bCs/>
          <w:szCs w:val="20"/>
        </w:rPr>
        <w:t xml:space="preserve"> oitenta e seis cento). O</w:t>
      </w:r>
      <w:r w:rsidRPr="00652A13">
        <w:rPr>
          <w:rFonts w:ascii="Calibri" w:hAnsi="Calibri" w:cs="Calibri"/>
          <w:bCs/>
          <w:szCs w:val="20"/>
        </w:rPr>
        <w:t xml:space="preserve"> Comitê de Investimentos compromete-se a observar o mercado financeiro periodicamente, assim como as alterações de Leis e Decretos que regem e normatizam as alocações dos recursos dos RPPS, para que, </w:t>
      </w:r>
      <w:r w:rsidRPr="00652A13">
        <w:rPr>
          <w:rFonts w:ascii="Calibri" w:hAnsi="Calibri" w:cs="Calibri"/>
          <w:bCs/>
          <w:szCs w:val="20"/>
        </w:rPr>
        <w:lastRenderedPageBreak/>
        <w:t xml:space="preserve">se necessário, a Política de Investimento seja revista e readequada a qualquer alteração de Lei que vier a surgir. Com o final da apresentação da Política de Investimentos e as dúvidas terem sidos sanadas durante a apresentação, a Diretora Presidente perguntou aos presentes se aprovavam a Política de Investimentos para o ano </w:t>
      </w:r>
      <w:r>
        <w:rPr>
          <w:rFonts w:ascii="Calibri" w:hAnsi="Calibri" w:cs="Calibri"/>
          <w:bCs/>
          <w:szCs w:val="20"/>
        </w:rPr>
        <w:t xml:space="preserve">de 2020 conforme formulada pela Diretoria do IPMAT juntamente com a Consultoria Financeira e o </w:t>
      </w:r>
      <w:r w:rsidRPr="00652A13">
        <w:rPr>
          <w:rFonts w:ascii="Calibri" w:hAnsi="Calibri" w:cs="Calibri"/>
          <w:bCs/>
          <w:szCs w:val="20"/>
        </w:rPr>
        <w:t>Comitê de Investimentos. Todos os participantes aprovaram e estão de acordo com o explanado. S</w:t>
      </w:r>
      <w:r w:rsidRPr="00652A13">
        <w:rPr>
          <w:rFonts w:ascii="Calibri" w:hAnsi="Calibri" w:cs="Calibri"/>
        </w:rPr>
        <w:t xml:space="preserve">em mais assuntos a serem tratados, a reunião foi encerrada. A </w:t>
      </w:r>
      <w:proofErr w:type="spellStart"/>
      <w:r w:rsidRPr="00652A13">
        <w:rPr>
          <w:rFonts w:ascii="Calibri" w:hAnsi="Calibri" w:cs="Calibri"/>
        </w:rPr>
        <w:t>Srª</w:t>
      </w:r>
      <w:proofErr w:type="spellEnd"/>
      <w:r w:rsidRPr="00652A13">
        <w:rPr>
          <w:rFonts w:ascii="Calibri" w:hAnsi="Calibri" w:cs="Calibri"/>
        </w:rPr>
        <w:t xml:space="preserve"> Presidente, Maria Silvana </w:t>
      </w:r>
      <w:proofErr w:type="spellStart"/>
      <w:r w:rsidRPr="00652A13">
        <w:rPr>
          <w:rFonts w:ascii="Calibri" w:hAnsi="Calibri" w:cs="Calibri"/>
        </w:rPr>
        <w:t>Buzato</w:t>
      </w:r>
      <w:proofErr w:type="spellEnd"/>
      <w:r w:rsidRPr="00652A13">
        <w:rPr>
          <w:rFonts w:ascii="Calibri" w:hAnsi="Calibri" w:cs="Calibri"/>
        </w:rPr>
        <w:t xml:space="preserve">, determinou que fosse lavrada a presente ata e após lida e aprovada vai assinada por mim, Michelle Goinski, secretária ad hoc e pela Diretora Presidente </w:t>
      </w:r>
      <w:proofErr w:type="spellStart"/>
      <w:r w:rsidRPr="00652A13">
        <w:rPr>
          <w:rFonts w:ascii="Calibri" w:hAnsi="Calibri" w:cs="Calibri"/>
        </w:rPr>
        <w:t>Srª</w:t>
      </w:r>
      <w:proofErr w:type="spellEnd"/>
      <w:r w:rsidRPr="00652A13">
        <w:rPr>
          <w:rFonts w:ascii="Calibri" w:hAnsi="Calibri" w:cs="Calibri"/>
        </w:rPr>
        <w:t xml:space="preserve"> Maria Silvana </w:t>
      </w:r>
      <w:proofErr w:type="spellStart"/>
      <w:r w:rsidRPr="00652A13">
        <w:rPr>
          <w:rFonts w:ascii="Calibri" w:hAnsi="Calibri" w:cs="Calibri"/>
        </w:rPr>
        <w:t>Buzato</w:t>
      </w:r>
      <w:proofErr w:type="spellEnd"/>
      <w:r w:rsidRPr="00652A13">
        <w:rPr>
          <w:rFonts w:ascii="Calibri" w:hAnsi="Calibri" w:cs="Calibri"/>
        </w:rPr>
        <w:t xml:space="preserve">.  </w:t>
      </w:r>
    </w:p>
    <w:p w:rsidR="002D13B0" w:rsidRPr="00C23A66" w:rsidRDefault="002D13B0" w:rsidP="002D13B0"/>
    <w:p w:rsidR="002D13B0" w:rsidRPr="00D25758" w:rsidRDefault="002D13B0" w:rsidP="005169B6">
      <w:bookmarkStart w:id="1" w:name="_GoBack"/>
      <w:bookmarkEnd w:id="1"/>
    </w:p>
    <w:sectPr w:rsidR="002D13B0" w:rsidRPr="00D25758" w:rsidSect="00526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BC" w:rsidRDefault="00826CBC" w:rsidP="00826CBC">
      <w:r>
        <w:separator/>
      </w:r>
    </w:p>
  </w:endnote>
  <w:endnote w:type="continuationSeparator" w:id="0">
    <w:p w:rsidR="00826CBC" w:rsidRDefault="00826CBC" w:rsidP="0082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BC" w:rsidRDefault="00826C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BC" w:rsidRDefault="00826CB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BC" w:rsidRDefault="00826C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BC" w:rsidRDefault="00826CBC" w:rsidP="00826CBC">
      <w:r>
        <w:separator/>
      </w:r>
    </w:p>
  </w:footnote>
  <w:footnote w:type="continuationSeparator" w:id="0">
    <w:p w:rsidR="00826CBC" w:rsidRDefault="00826CBC" w:rsidP="0082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BC" w:rsidRDefault="00826C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148711"/>
      <w:docPartObj>
        <w:docPartGallery w:val="Page Numbers (Top of Page)"/>
        <w:docPartUnique/>
      </w:docPartObj>
    </w:sdtPr>
    <w:sdtEndPr/>
    <w:sdtContent>
      <w:p w:rsidR="00826CBC" w:rsidRDefault="00826CB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F2C">
          <w:rPr>
            <w:noProof/>
          </w:rPr>
          <w:t>13</w:t>
        </w:r>
        <w:r>
          <w:fldChar w:fldCharType="end"/>
        </w:r>
      </w:p>
    </w:sdtContent>
  </w:sdt>
  <w:p w:rsidR="00826CBC" w:rsidRDefault="00826CB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BC" w:rsidRDefault="00826C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75"/>
    <w:rsid w:val="00002E05"/>
    <w:rsid w:val="000570ED"/>
    <w:rsid w:val="000575FC"/>
    <w:rsid w:val="000D5959"/>
    <w:rsid w:val="00120297"/>
    <w:rsid w:val="00172A32"/>
    <w:rsid w:val="00172EF1"/>
    <w:rsid w:val="001D7E36"/>
    <w:rsid w:val="00203CA0"/>
    <w:rsid w:val="00272433"/>
    <w:rsid w:val="002D13B0"/>
    <w:rsid w:val="002D78CA"/>
    <w:rsid w:val="004558D0"/>
    <w:rsid w:val="004C101E"/>
    <w:rsid w:val="0050141E"/>
    <w:rsid w:val="005141F3"/>
    <w:rsid w:val="005169B6"/>
    <w:rsid w:val="00526F2C"/>
    <w:rsid w:val="00595DAE"/>
    <w:rsid w:val="005D499F"/>
    <w:rsid w:val="005F79ED"/>
    <w:rsid w:val="00621A75"/>
    <w:rsid w:val="00636C79"/>
    <w:rsid w:val="007B42B6"/>
    <w:rsid w:val="00804B03"/>
    <w:rsid w:val="00826CBC"/>
    <w:rsid w:val="008A5355"/>
    <w:rsid w:val="00AD70EC"/>
    <w:rsid w:val="00B157E9"/>
    <w:rsid w:val="00D02AFB"/>
    <w:rsid w:val="00D03ADD"/>
    <w:rsid w:val="00D25758"/>
    <w:rsid w:val="00E42A8C"/>
    <w:rsid w:val="00F911B5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4417"/>
  <w15:chartTrackingRefBased/>
  <w15:docId w15:val="{542E51BE-466F-4B1C-91B7-CB4F9EFF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1F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F1D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6C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6C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6C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6C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7243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570E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57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3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8255</Words>
  <Characters>44578</Characters>
  <Application>Microsoft Office Word</Application>
  <DocSecurity>0</DocSecurity>
  <Lines>371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Goinski</dc:creator>
  <cp:keywords/>
  <dc:description/>
  <cp:lastModifiedBy>Michelle Goinski</cp:lastModifiedBy>
  <cp:revision>3</cp:revision>
  <cp:lastPrinted>2020-07-20T16:55:00Z</cp:lastPrinted>
  <dcterms:created xsi:type="dcterms:W3CDTF">2023-06-30T17:56:00Z</dcterms:created>
  <dcterms:modified xsi:type="dcterms:W3CDTF">2023-06-30T17:57:00Z</dcterms:modified>
</cp:coreProperties>
</file>